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bCs/>
          <w:color w:val="000000"/>
          <w:sz w:val="36"/>
          <w:szCs w:val="36"/>
          <w:lang w:val="en-US" w:eastAsia="zh-CN"/>
        </w:rPr>
      </w:pPr>
      <w:r>
        <w:rPr>
          <w:rFonts w:hint="eastAsia" w:ascii="黑体" w:hAnsi="黑体" w:eastAsia="黑体" w:cs="黑体"/>
          <w:bCs/>
          <w:color w:val="000000"/>
          <w:sz w:val="36"/>
          <w:szCs w:val="36"/>
          <w:lang w:val="en-US" w:eastAsia="zh-CN"/>
        </w:rPr>
        <w:t>附件1</w:t>
      </w:r>
    </w:p>
    <w:p>
      <w:pPr>
        <w:spacing w:line="580" w:lineRule="exact"/>
        <w:jc w:val="left"/>
        <w:rPr>
          <w:rFonts w:hint="eastAsia" w:ascii="华康简标题宋" w:hAnsi="华康简标题宋" w:eastAsia="华康简标题宋" w:cs="华康简标题宋"/>
          <w:bCs/>
          <w:color w:val="000000"/>
          <w:sz w:val="44"/>
          <w:szCs w:val="44"/>
        </w:rPr>
      </w:pPr>
    </w:p>
    <w:p>
      <w:pPr>
        <w:spacing w:line="580" w:lineRule="exact"/>
        <w:jc w:val="center"/>
        <w:rPr>
          <w:rFonts w:hint="eastAsia" w:ascii="华康简标题宋" w:hAnsi="华康简标题宋" w:eastAsia="华康简标题宋" w:cs="华康简标题宋"/>
          <w:bCs/>
          <w:color w:val="000000"/>
          <w:sz w:val="44"/>
          <w:szCs w:val="44"/>
        </w:rPr>
      </w:pPr>
      <w:r>
        <w:rPr>
          <w:rFonts w:hint="eastAsia" w:ascii="华康简标题宋" w:hAnsi="华康简标题宋" w:eastAsia="华康简标题宋" w:cs="华康简标题宋"/>
          <w:bCs/>
          <w:color w:val="000000"/>
          <w:sz w:val="44"/>
          <w:szCs w:val="44"/>
        </w:rPr>
        <w:t>“中国好粮油”行动示范县和示范企业</w:t>
      </w:r>
    </w:p>
    <w:p>
      <w:pPr>
        <w:spacing w:line="580" w:lineRule="exact"/>
        <w:jc w:val="center"/>
        <w:rPr>
          <w:rFonts w:hint="eastAsia" w:ascii="华康简标题宋" w:hAnsi="华康简标题宋" w:eastAsia="华康简标题宋" w:cs="华康简标题宋"/>
          <w:bCs/>
          <w:color w:val="000000"/>
          <w:sz w:val="44"/>
          <w:szCs w:val="44"/>
        </w:rPr>
      </w:pPr>
      <w:r>
        <w:rPr>
          <w:rFonts w:hint="eastAsia" w:ascii="华康简标题宋" w:hAnsi="华康简标题宋" w:eastAsia="华康简标题宋" w:cs="华康简标题宋"/>
          <w:bCs/>
          <w:color w:val="000000"/>
          <w:sz w:val="44"/>
          <w:szCs w:val="44"/>
        </w:rPr>
        <w:t>申报指南</w:t>
      </w:r>
    </w:p>
    <w:p>
      <w:pPr>
        <w:snapToGrid w:val="0"/>
        <w:spacing w:line="580" w:lineRule="exact"/>
        <w:ind w:firstLine="640" w:firstLineChars="200"/>
        <w:rPr>
          <w:rFonts w:ascii="仿宋" w:hAnsi="仿宋" w:eastAsia="仿宋"/>
        </w:rPr>
      </w:pPr>
    </w:p>
    <w:p>
      <w:pPr>
        <w:snapToGrid w:val="0"/>
        <w:spacing w:line="580" w:lineRule="exact"/>
        <w:ind w:firstLine="640" w:firstLineChars="200"/>
        <w:rPr>
          <w:rFonts w:ascii="仿宋" w:hAnsi="仿宋" w:eastAsia="仿宋"/>
          <w:sz w:val="36"/>
          <w:szCs w:val="36"/>
        </w:rPr>
      </w:pPr>
      <w:r>
        <w:rPr>
          <w:rFonts w:hint="eastAsia" w:ascii="仿宋" w:hAnsi="仿宋" w:eastAsia="仿宋"/>
          <w:sz w:val="36"/>
          <w:szCs w:val="36"/>
        </w:rPr>
        <w:t>为推进实施中国好粮油行动计划，财政部和粮食局拟选择一批具有优质粮油生产潜力的产粮产油县和粮油加工龙头企业，开展中国好粮油行动示范。</w:t>
      </w:r>
      <w:r>
        <w:rPr>
          <w:rFonts w:ascii="仿宋" w:hAnsi="仿宋" w:eastAsia="仿宋"/>
          <w:sz w:val="36"/>
          <w:szCs w:val="36"/>
        </w:rPr>
        <w:t>为指导各地做好2017年</w:t>
      </w:r>
      <w:r>
        <w:rPr>
          <w:rFonts w:hint="eastAsia" w:ascii="仿宋" w:hAnsi="仿宋" w:eastAsia="仿宋"/>
          <w:sz w:val="36"/>
          <w:szCs w:val="36"/>
        </w:rPr>
        <w:t>度中国好粮油行动示范工程</w:t>
      </w:r>
      <w:r>
        <w:rPr>
          <w:rFonts w:ascii="仿宋" w:hAnsi="仿宋" w:eastAsia="仿宋"/>
          <w:sz w:val="36"/>
          <w:szCs w:val="36"/>
        </w:rPr>
        <w:t>申报工作，特制定本</w:t>
      </w:r>
      <w:r>
        <w:rPr>
          <w:rFonts w:hint="eastAsia" w:ascii="仿宋" w:hAnsi="仿宋" w:eastAsia="仿宋"/>
          <w:sz w:val="36"/>
          <w:szCs w:val="36"/>
        </w:rPr>
        <w:t>申报指南</w:t>
      </w:r>
      <w:r>
        <w:rPr>
          <w:rFonts w:ascii="仿宋" w:hAnsi="仿宋" w:eastAsia="仿宋"/>
          <w:sz w:val="36"/>
          <w:szCs w:val="36"/>
        </w:rPr>
        <w:t>。</w:t>
      </w:r>
    </w:p>
    <w:p>
      <w:pPr>
        <w:snapToGrid w:val="0"/>
        <w:spacing w:line="580" w:lineRule="exact"/>
        <w:ind w:firstLine="640" w:firstLineChars="200"/>
        <w:rPr>
          <w:rFonts w:ascii="黑体" w:hAnsi="黑体" w:eastAsia="黑体"/>
          <w:sz w:val="36"/>
          <w:szCs w:val="36"/>
        </w:rPr>
      </w:pPr>
      <w:r>
        <w:rPr>
          <w:rFonts w:hint="eastAsia" w:ascii="黑体" w:hAnsi="黑体" w:eastAsia="黑体"/>
          <w:sz w:val="36"/>
          <w:szCs w:val="36"/>
        </w:rPr>
        <w:t>一、目的意义</w:t>
      </w:r>
    </w:p>
    <w:p>
      <w:pPr>
        <w:adjustRightInd w:val="0"/>
        <w:snapToGrid w:val="0"/>
        <w:spacing w:line="580" w:lineRule="exact"/>
        <w:ind w:firstLine="640" w:firstLineChars="200"/>
        <w:rPr>
          <w:rFonts w:ascii="仿宋" w:hAnsi="仿宋" w:eastAsia="仿宋"/>
          <w:sz w:val="36"/>
          <w:szCs w:val="36"/>
        </w:rPr>
      </w:pPr>
      <w:r>
        <w:rPr>
          <w:rFonts w:hint="eastAsia" w:ascii="仿宋" w:hAnsi="仿宋" w:eastAsia="仿宋"/>
          <w:sz w:val="36"/>
          <w:szCs w:val="36"/>
        </w:rPr>
        <w:t>聚焦增加绿色优质粮油产品供给，发挥市场对生产的引导作用，通过标准引领、质量测评、品牌培育、健康宣传和试点示范，推进优质粮油流通体系建设，打造优质粮油产品及品牌，建立“优质优价”的粮食流通方式和市场交易机制，引导农民调整优化种植结构，提高绿色优质粮食产品的供给水平，满足城乡居民消费升级</w:t>
      </w:r>
      <w:r>
        <w:rPr>
          <w:rFonts w:ascii="仿宋" w:hAnsi="仿宋" w:eastAsia="仿宋"/>
          <w:sz w:val="36"/>
          <w:szCs w:val="36"/>
        </w:rPr>
        <w:t>需求</w:t>
      </w:r>
      <w:r>
        <w:rPr>
          <w:rFonts w:hint="eastAsia" w:ascii="仿宋" w:hAnsi="仿宋" w:eastAsia="仿宋"/>
          <w:sz w:val="36"/>
          <w:szCs w:val="36"/>
        </w:rPr>
        <w:t>，加快实现粮食供给从解决“吃得饱”到满足“吃得好”的转变。通过实施中国好粮油行动计划，力争到2020年把全国产粮大县的粮食优质品率提高30%左右。</w:t>
      </w:r>
    </w:p>
    <w:p>
      <w:pPr>
        <w:adjustRightInd w:val="0"/>
        <w:snapToGrid w:val="0"/>
        <w:spacing w:line="580" w:lineRule="exact"/>
        <w:ind w:firstLine="640" w:firstLineChars="200"/>
        <w:rPr>
          <w:rFonts w:ascii="黑体" w:hAnsi="黑体" w:eastAsia="黑体"/>
          <w:sz w:val="36"/>
          <w:szCs w:val="36"/>
        </w:rPr>
      </w:pPr>
      <w:r>
        <w:rPr>
          <w:rFonts w:hint="eastAsia" w:ascii="黑体" w:hAnsi="黑体" w:eastAsia="黑体"/>
          <w:sz w:val="36"/>
          <w:szCs w:val="36"/>
        </w:rPr>
        <w:t>二、主要任务</w:t>
      </w:r>
    </w:p>
    <w:p>
      <w:pPr>
        <w:spacing w:line="580" w:lineRule="exact"/>
        <w:ind w:firstLine="640" w:firstLineChars="200"/>
        <w:rPr>
          <w:rFonts w:ascii="仿宋_GB2312"/>
          <w:sz w:val="36"/>
          <w:szCs w:val="36"/>
        </w:rPr>
      </w:pPr>
      <w:r>
        <w:rPr>
          <w:rFonts w:hint="eastAsia" w:ascii="仿宋_GB2312"/>
          <w:sz w:val="36"/>
          <w:szCs w:val="36"/>
        </w:rPr>
        <w:t>聚焦“保障安全、提升品质、改善营养”，通过标准规范、品牌培育、宣传引导、试点示范，在口粮相关的大米、面粉、玉米、植物油等方面打造消费者认可的中国好粮油，提高优质粮油的市场占有率和覆盖面。一是完善优质粮油质量标准，建立“中国好粮油”系列标准和质量控制导则，满足粮食产品分等定级的需要，进一步引导粮食种植、加工等环节的提质升级；二是加强中国好粮油产品的研发，以优质粮油标准为引领，研发高于国标和行标的优质粮油产品，并积极引导研发单位与加工企业的对接，推进研发成果及时转化，满足多元化、差异化的消费需求；三是建立中国好粮油产品及品牌遴选、信息发布和动态调整等制度，培育优质粮食产品和品牌，由各省份按标准推介和调整，并通过“中国好粮油”信息平台发布中国好粮油产品及品牌，引导和推进优质专用粮食进入平台交易，增加优质产品供给；四是向实体店推荐中国好粮油产品，鼓励企业自建好粮油产品实体店；五是开展“以谷类为主”的膳食营养健康宣传，建立“谷类健康消费指南”，引导老百姓科学消费，保障身体健康，促进粮食消费升级；六是支持建设一批优质粮油示范基地，覆盖从田间到餐桌全产业链，培育优质粮食种植、收储、加工基地，加强检验监测服务，加强新标准、新产品的应用示范，实现“好粮油”产品质量全程可追溯。</w:t>
      </w:r>
    </w:p>
    <w:p>
      <w:pPr>
        <w:snapToGrid w:val="0"/>
        <w:spacing w:line="580" w:lineRule="exact"/>
        <w:ind w:firstLine="640" w:firstLineChars="200"/>
        <w:rPr>
          <w:rFonts w:ascii="黑体" w:hAnsi="黑体" w:eastAsia="黑体"/>
          <w:sz w:val="36"/>
          <w:szCs w:val="36"/>
        </w:rPr>
      </w:pPr>
      <w:r>
        <w:rPr>
          <w:rFonts w:hint="eastAsia" w:ascii="黑体" w:hAnsi="黑体" w:eastAsia="黑体"/>
          <w:sz w:val="36"/>
          <w:szCs w:val="36"/>
        </w:rPr>
        <w:t>三</w:t>
      </w:r>
      <w:r>
        <w:rPr>
          <w:rFonts w:ascii="黑体" w:hAnsi="黑体" w:eastAsia="黑体"/>
          <w:sz w:val="36"/>
          <w:szCs w:val="36"/>
        </w:rPr>
        <w:t>、</w:t>
      </w:r>
      <w:r>
        <w:rPr>
          <w:rFonts w:hint="eastAsia" w:ascii="黑体" w:hAnsi="黑体" w:eastAsia="黑体"/>
          <w:sz w:val="36"/>
          <w:szCs w:val="36"/>
        </w:rPr>
        <w:t>示范工程</w:t>
      </w:r>
      <w:r>
        <w:rPr>
          <w:rFonts w:ascii="黑体" w:hAnsi="黑体" w:eastAsia="黑体"/>
          <w:sz w:val="36"/>
          <w:szCs w:val="36"/>
        </w:rPr>
        <w:t>申报</w:t>
      </w:r>
      <w:r>
        <w:rPr>
          <w:rFonts w:hint="eastAsia" w:ascii="黑体" w:hAnsi="黑体" w:eastAsia="黑体"/>
          <w:sz w:val="36"/>
          <w:szCs w:val="36"/>
        </w:rPr>
        <w:t>和遴选办法</w:t>
      </w:r>
    </w:p>
    <w:p>
      <w:pPr>
        <w:spacing w:line="580" w:lineRule="exact"/>
        <w:ind w:firstLine="640" w:firstLineChars="200"/>
        <w:rPr>
          <w:rFonts w:ascii="仿宋" w:hAnsi="仿宋" w:eastAsia="仿宋"/>
          <w:sz w:val="36"/>
          <w:szCs w:val="36"/>
        </w:rPr>
      </w:pPr>
      <w:r>
        <w:rPr>
          <w:rFonts w:hint="eastAsia" w:ascii="仿宋" w:hAnsi="仿宋" w:eastAsia="仿宋"/>
          <w:sz w:val="36"/>
          <w:szCs w:val="36"/>
        </w:rPr>
        <w:t>中国好粮油示范县和示范企业主要由省级财政和粮食部门组织推荐，财政部、国家粮食局组织专家评审，在符合支持方向、申报要求及分配名额条件下，择优确定。粮食主产省份可推荐5-8个示范县；其他省份可推荐2-3个示范县；各省（区、市）结合自身实际可推荐1-2家示范企业。每家中央企业可申报1-2家示范企业，通过属地省级粮食部门单列申报。</w:t>
      </w:r>
    </w:p>
    <w:p>
      <w:pPr>
        <w:snapToGrid w:val="0"/>
        <w:spacing w:line="580" w:lineRule="exact"/>
        <w:ind w:left="851"/>
        <w:rPr>
          <w:rFonts w:ascii="黑体" w:hAnsi="黑体" w:eastAsia="黑体"/>
          <w:sz w:val="36"/>
          <w:szCs w:val="36"/>
        </w:rPr>
      </w:pPr>
      <w:r>
        <w:rPr>
          <w:rFonts w:hint="eastAsia" w:ascii="黑体" w:hAnsi="黑体" w:eastAsia="黑体"/>
          <w:sz w:val="36"/>
          <w:szCs w:val="36"/>
        </w:rPr>
        <w:t>四、支持方向</w:t>
      </w:r>
    </w:p>
    <w:p>
      <w:pPr>
        <w:spacing w:line="580" w:lineRule="exact"/>
        <w:ind w:firstLine="640" w:firstLineChars="200"/>
        <w:rPr>
          <w:rFonts w:ascii="仿宋" w:hAnsi="仿宋" w:eastAsia="仿宋"/>
          <w:sz w:val="36"/>
          <w:szCs w:val="36"/>
        </w:rPr>
      </w:pPr>
      <w:r>
        <w:rPr>
          <w:rFonts w:hint="eastAsia" w:ascii="仿宋" w:hAnsi="仿宋" w:eastAsia="仿宋"/>
          <w:sz w:val="36"/>
          <w:szCs w:val="36"/>
        </w:rPr>
        <w:t>示范县主要支持具有优质粮油生产潜力的产粮产油大县及名特粮油生产县；示范企业主要支持积极开发生产符合“好粮油”标准的米、面、植物油、挂面、杂粮杂豆等口粮和食用油产品加工企业。</w:t>
      </w:r>
    </w:p>
    <w:p>
      <w:pPr>
        <w:snapToGrid w:val="0"/>
        <w:spacing w:line="580" w:lineRule="exact"/>
        <w:ind w:firstLine="643" w:firstLineChars="200"/>
        <w:rPr>
          <w:rFonts w:ascii="楷体" w:hAnsi="楷体" w:eastAsia="楷体"/>
          <w:b/>
          <w:sz w:val="36"/>
          <w:szCs w:val="36"/>
        </w:rPr>
      </w:pPr>
      <w:r>
        <w:rPr>
          <w:rFonts w:hint="eastAsia" w:ascii="楷体" w:hAnsi="楷体" w:eastAsia="楷体"/>
          <w:b/>
          <w:sz w:val="36"/>
          <w:szCs w:val="36"/>
        </w:rPr>
        <w:t>（一）示范县</w:t>
      </w:r>
    </w:p>
    <w:p>
      <w:pPr>
        <w:adjustRightInd w:val="0"/>
        <w:snapToGrid w:val="0"/>
        <w:spacing w:line="580" w:lineRule="exact"/>
        <w:ind w:firstLine="640" w:firstLineChars="200"/>
        <w:outlineLvl w:val="0"/>
        <w:rPr>
          <w:rFonts w:ascii="仿宋" w:hAnsi="仿宋" w:eastAsia="仿宋"/>
          <w:sz w:val="36"/>
          <w:szCs w:val="36"/>
        </w:rPr>
      </w:pPr>
      <w:r>
        <w:rPr>
          <w:rFonts w:hint="eastAsia" w:ascii="仿宋" w:hAnsi="仿宋" w:eastAsia="仿宋"/>
          <w:sz w:val="36"/>
          <w:szCs w:val="36"/>
        </w:rPr>
        <w:t>1.组织开展收获粮油品质测报。在粮食（包括油料）收获的第一时间，及时组织对当地新收获的主要粮油品种的品质与安全状况进行全面测评、排序和发布，引导粮食品种结构优化，促进优质品种的规模化生产，引导优质粮油的分类收储和销售。</w:t>
      </w:r>
    </w:p>
    <w:p>
      <w:pPr>
        <w:adjustRightInd w:val="0"/>
        <w:snapToGrid w:val="0"/>
        <w:spacing w:line="580" w:lineRule="exact"/>
        <w:ind w:firstLine="640" w:firstLineChars="200"/>
        <w:outlineLvl w:val="0"/>
        <w:rPr>
          <w:rFonts w:ascii="仿宋" w:hAnsi="仿宋" w:eastAsia="仿宋"/>
          <w:sz w:val="36"/>
          <w:szCs w:val="36"/>
        </w:rPr>
      </w:pPr>
      <w:r>
        <w:rPr>
          <w:rFonts w:hint="eastAsia" w:ascii="仿宋" w:hAnsi="仿宋" w:eastAsia="仿宋"/>
          <w:sz w:val="36"/>
          <w:szCs w:val="36"/>
        </w:rPr>
        <w:t>2.开展多种形式的优质粮油产销对接活动，打造地域特色粮油品牌，创新优质粮油生产和流通组织模式、运行机制，促进形成种粮农民与企业的利益共享机制，实现优质优价和农民增收。</w:t>
      </w:r>
    </w:p>
    <w:p>
      <w:pPr>
        <w:adjustRightInd w:val="0"/>
        <w:snapToGrid w:val="0"/>
        <w:spacing w:line="580" w:lineRule="exact"/>
        <w:ind w:firstLine="640" w:firstLineChars="200"/>
        <w:outlineLvl w:val="0"/>
        <w:rPr>
          <w:rFonts w:ascii="仿宋" w:hAnsi="仿宋" w:eastAsia="仿宋"/>
          <w:sz w:val="36"/>
          <w:szCs w:val="36"/>
        </w:rPr>
      </w:pPr>
      <w:r>
        <w:rPr>
          <w:rFonts w:hint="eastAsia" w:ascii="仿宋" w:hAnsi="仿宋" w:eastAsia="仿宋"/>
          <w:sz w:val="36"/>
          <w:szCs w:val="36"/>
        </w:rPr>
        <w:t>3.积极推动优质原粮的平台交易。鼓励当地的粮食生产经营主体，积极参与国家和省级粮食交易平台定期开展的中国好粮油专场销售活动，为参与平台交易的标的产品提供第三方检测证书、交易保证金等保障支持。</w:t>
      </w:r>
      <w:r>
        <w:rPr>
          <w:rFonts w:ascii="仿宋" w:hAnsi="仿宋" w:eastAsia="仿宋"/>
          <w:sz w:val="36"/>
          <w:szCs w:val="36"/>
        </w:rPr>
        <w:t xml:space="preserve"> </w:t>
      </w:r>
    </w:p>
    <w:p>
      <w:pPr>
        <w:adjustRightInd w:val="0"/>
        <w:snapToGrid w:val="0"/>
        <w:spacing w:line="580" w:lineRule="exact"/>
        <w:ind w:firstLine="640" w:firstLineChars="200"/>
        <w:outlineLvl w:val="0"/>
        <w:rPr>
          <w:rFonts w:ascii="仿宋" w:hAnsi="仿宋" w:eastAsia="仿宋"/>
          <w:sz w:val="36"/>
          <w:szCs w:val="36"/>
        </w:rPr>
      </w:pPr>
      <w:r>
        <w:rPr>
          <w:rFonts w:hint="eastAsia" w:ascii="仿宋" w:hAnsi="仿宋" w:eastAsia="仿宋"/>
          <w:sz w:val="36"/>
          <w:szCs w:val="36"/>
        </w:rPr>
        <w:t>4.鼓励各类粮食经营主体积极采用质量检验、保质烘干、分类收储、低温储存等新技术，建立和完善适合本地区的优质粮食（油料）整理、烘干、检验、分类、储存等技术规程和标准，积极开展技术培训，促进优质粮食提质升级。</w:t>
      </w:r>
    </w:p>
    <w:p>
      <w:pPr>
        <w:adjustRightInd w:val="0"/>
        <w:snapToGrid w:val="0"/>
        <w:spacing w:line="580" w:lineRule="exact"/>
        <w:ind w:firstLine="640" w:firstLineChars="200"/>
        <w:outlineLvl w:val="0"/>
        <w:rPr>
          <w:rFonts w:ascii="仿宋" w:hAnsi="仿宋" w:eastAsia="仿宋"/>
          <w:sz w:val="36"/>
          <w:szCs w:val="36"/>
        </w:rPr>
      </w:pPr>
      <w:r>
        <w:rPr>
          <w:rFonts w:hint="eastAsia" w:ascii="仿宋" w:hAnsi="仿宋" w:eastAsia="仿宋"/>
          <w:sz w:val="36"/>
          <w:szCs w:val="36"/>
        </w:rPr>
        <w:t>5.鼓励企业积极采用中国好粮油产品标准、质量控制导则及地方特色产品标准，打造绿色优质粮油产品，加强原料和产品的质量检验把关，改善收储、物流、加工装备设施条件，大力推进适度加工和节能降耗，扩大当地优质粮油产品的市场影响力。</w:t>
      </w:r>
    </w:p>
    <w:p>
      <w:pPr>
        <w:adjustRightInd w:val="0"/>
        <w:snapToGrid w:val="0"/>
        <w:spacing w:line="580" w:lineRule="exact"/>
        <w:ind w:firstLine="640" w:firstLineChars="200"/>
        <w:outlineLvl w:val="0"/>
        <w:rPr>
          <w:rFonts w:ascii="仿宋" w:hAnsi="仿宋" w:eastAsia="仿宋"/>
          <w:sz w:val="36"/>
          <w:szCs w:val="36"/>
        </w:rPr>
      </w:pPr>
      <w:r>
        <w:rPr>
          <w:rFonts w:hint="eastAsia" w:ascii="仿宋" w:hAnsi="仿宋" w:eastAsia="仿宋"/>
          <w:sz w:val="36"/>
          <w:szCs w:val="36"/>
        </w:rPr>
        <w:t>6.联合相关科研机构、院校院所建立科技指导服务体系，指导各类生产经营主体按照中国好粮油标准及规范组织生产，并积极开展相关监督检查活动。</w:t>
      </w:r>
    </w:p>
    <w:p>
      <w:pPr>
        <w:adjustRightInd w:val="0"/>
        <w:snapToGrid w:val="0"/>
        <w:spacing w:line="580" w:lineRule="exact"/>
        <w:ind w:firstLine="640" w:firstLineChars="200"/>
        <w:outlineLvl w:val="0"/>
        <w:rPr>
          <w:rFonts w:ascii="仿宋" w:hAnsi="仿宋" w:eastAsia="仿宋"/>
          <w:sz w:val="36"/>
          <w:szCs w:val="36"/>
        </w:rPr>
      </w:pPr>
      <w:r>
        <w:rPr>
          <w:rFonts w:hint="eastAsia" w:ascii="仿宋" w:hAnsi="仿宋" w:eastAsia="仿宋"/>
          <w:sz w:val="36"/>
          <w:szCs w:val="36"/>
        </w:rPr>
        <w:t>7.有利于推进中国好粮油行动计划实施的其他内容。</w:t>
      </w:r>
    </w:p>
    <w:p>
      <w:pPr>
        <w:snapToGrid w:val="0"/>
        <w:spacing w:line="580" w:lineRule="exact"/>
        <w:ind w:firstLine="643" w:firstLineChars="200"/>
        <w:rPr>
          <w:rFonts w:ascii="楷体" w:hAnsi="楷体" w:eastAsia="楷体"/>
          <w:b/>
          <w:sz w:val="36"/>
          <w:szCs w:val="36"/>
        </w:rPr>
      </w:pPr>
      <w:r>
        <w:rPr>
          <w:rFonts w:hint="eastAsia" w:ascii="楷体" w:hAnsi="楷体" w:eastAsia="楷体"/>
          <w:b/>
          <w:sz w:val="36"/>
          <w:szCs w:val="36"/>
        </w:rPr>
        <w:t>（二）示范企业</w:t>
      </w:r>
    </w:p>
    <w:p>
      <w:pPr>
        <w:spacing w:line="580" w:lineRule="exact"/>
        <w:ind w:firstLine="640" w:firstLineChars="200"/>
        <w:rPr>
          <w:rFonts w:ascii="仿宋" w:hAnsi="仿宋" w:eastAsia="仿宋"/>
          <w:sz w:val="36"/>
          <w:szCs w:val="36"/>
        </w:rPr>
      </w:pPr>
      <w:r>
        <w:rPr>
          <w:rFonts w:hint="eastAsia" w:ascii="仿宋" w:hAnsi="仿宋" w:eastAsia="仿宋"/>
          <w:sz w:val="36"/>
          <w:szCs w:val="36"/>
        </w:rPr>
        <w:t>1.建立跨区域的、覆盖全产业链的优质粮油生产、收储、加工、营销示范体系，能够带动本省或跨省（区、市）不少于5个县域的优质粮油生产基地建设。创建企业与农户、合作社、产后服务中心等主体的利益共享、风险共担以及一二三产融合发展的模式和机制。</w:t>
      </w:r>
    </w:p>
    <w:p>
      <w:pPr>
        <w:adjustRightInd w:val="0"/>
        <w:snapToGrid w:val="0"/>
        <w:spacing w:line="580" w:lineRule="exact"/>
        <w:ind w:firstLine="640" w:firstLineChars="200"/>
        <w:outlineLvl w:val="0"/>
        <w:rPr>
          <w:rFonts w:ascii="仿宋" w:hAnsi="仿宋" w:eastAsia="仿宋"/>
          <w:sz w:val="36"/>
          <w:szCs w:val="36"/>
        </w:rPr>
      </w:pPr>
      <w:r>
        <w:rPr>
          <w:rFonts w:hint="eastAsia" w:ascii="仿宋" w:hAnsi="仿宋" w:eastAsia="仿宋"/>
          <w:sz w:val="36"/>
          <w:szCs w:val="36"/>
        </w:rPr>
        <w:t>2.积极采用中国好粮油产品标准，开发绿色优质粮油产品，提高符合中国好粮油标准产品的比重。加强产学研合作，积极采用新技术，促进产品结构提质升级。</w:t>
      </w:r>
    </w:p>
    <w:p>
      <w:pPr>
        <w:spacing w:line="580" w:lineRule="exact"/>
        <w:ind w:firstLine="640" w:firstLineChars="200"/>
        <w:rPr>
          <w:rFonts w:ascii="仿宋" w:hAnsi="仿宋" w:eastAsia="仿宋"/>
          <w:sz w:val="36"/>
          <w:szCs w:val="36"/>
        </w:rPr>
      </w:pPr>
      <w:r>
        <w:rPr>
          <w:rFonts w:hint="eastAsia" w:ascii="仿宋" w:hAnsi="仿宋" w:eastAsia="仿宋"/>
          <w:sz w:val="36"/>
          <w:szCs w:val="36"/>
        </w:rPr>
        <w:t>3.加强对符合好粮油标准产品的宣传，发挥示范企业的市场引领作用，完善产品标识，强化产品的安全、品质、营养等特性宣传，引导消费者合理选择、科学消费，满足细分人群的个性化需求。</w:t>
      </w:r>
    </w:p>
    <w:p>
      <w:pPr>
        <w:spacing w:line="580" w:lineRule="exact"/>
        <w:ind w:firstLine="640" w:firstLineChars="200"/>
        <w:rPr>
          <w:rFonts w:ascii="仿宋" w:hAnsi="仿宋" w:eastAsia="仿宋"/>
          <w:sz w:val="36"/>
          <w:szCs w:val="36"/>
        </w:rPr>
      </w:pPr>
      <w:r>
        <w:rPr>
          <w:rFonts w:hint="eastAsia" w:ascii="仿宋" w:hAnsi="仿宋" w:eastAsia="仿宋"/>
          <w:sz w:val="36"/>
          <w:szCs w:val="36"/>
        </w:rPr>
        <w:t>4.建立覆盖生产、采购、储存、运输、加工、销售全过程的质量控制及可追溯体系，加强危害分析，建立针对关键控制点的生产记录制度和质量检验制度，建立和实施良好生产规范和操作规范，开展质量体系认证，依托“中国好粮油信息平台”，发布本企业“中国好粮油上榜产品”的质量追溯信息，实现信息公示与公众查询。</w:t>
      </w:r>
    </w:p>
    <w:p>
      <w:pPr>
        <w:snapToGrid w:val="0"/>
        <w:spacing w:line="580" w:lineRule="exact"/>
        <w:ind w:firstLine="640" w:firstLineChars="200"/>
        <w:rPr>
          <w:rFonts w:ascii="黑体" w:hAnsi="黑体" w:eastAsia="黑体"/>
          <w:sz w:val="36"/>
          <w:szCs w:val="36"/>
        </w:rPr>
      </w:pPr>
      <w:r>
        <w:rPr>
          <w:rFonts w:hint="eastAsia" w:ascii="黑体" w:hAnsi="黑体" w:eastAsia="黑体"/>
          <w:sz w:val="36"/>
          <w:szCs w:val="36"/>
        </w:rPr>
        <w:t>五</w:t>
      </w:r>
      <w:r>
        <w:rPr>
          <w:rFonts w:ascii="黑体" w:hAnsi="黑体" w:eastAsia="黑体"/>
          <w:sz w:val="36"/>
          <w:szCs w:val="36"/>
        </w:rPr>
        <w:t>、</w:t>
      </w:r>
      <w:r>
        <w:rPr>
          <w:rFonts w:hint="eastAsia" w:ascii="黑体" w:hAnsi="黑体" w:eastAsia="黑体"/>
          <w:sz w:val="36"/>
          <w:szCs w:val="36"/>
        </w:rPr>
        <w:t>申报要求</w:t>
      </w:r>
    </w:p>
    <w:p>
      <w:pPr>
        <w:snapToGrid w:val="0"/>
        <w:spacing w:line="580" w:lineRule="exact"/>
        <w:ind w:firstLine="643" w:firstLineChars="200"/>
        <w:rPr>
          <w:rFonts w:ascii="楷体" w:hAnsi="楷体" w:eastAsia="楷体"/>
          <w:b/>
          <w:sz w:val="36"/>
          <w:szCs w:val="36"/>
        </w:rPr>
      </w:pPr>
      <w:r>
        <w:rPr>
          <w:rFonts w:ascii="楷体" w:hAnsi="楷体" w:eastAsia="楷体"/>
          <w:b/>
          <w:sz w:val="36"/>
          <w:szCs w:val="36"/>
        </w:rPr>
        <w:t>（</w:t>
      </w:r>
      <w:r>
        <w:rPr>
          <w:rFonts w:hint="eastAsia" w:ascii="楷体" w:hAnsi="楷体" w:eastAsia="楷体"/>
          <w:b/>
          <w:sz w:val="36"/>
          <w:szCs w:val="36"/>
        </w:rPr>
        <w:t>一</w:t>
      </w:r>
      <w:r>
        <w:rPr>
          <w:rFonts w:ascii="楷体" w:hAnsi="楷体" w:eastAsia="楷体"/>
          <w:b/>
          <w:sz w:val="36"/>
          <w:szCs w:val="36"/>
        </w:rPr>
        <w:t>）</w:t>
      </w:r>
      <w:r>
        <w:rPr>
          <w:rFonts w:hint="eastAsia" w:ascii="楷体" w:hAnsi="楷体" w:eastAsia="楷体"/>
          <w:b/>
          <w:sz w:val="36"/>
          <w:szCs w:val="36"/>
        </w:rPr>
        <w:t>示范县</w:t>
      </w:r>
    </w:p>
    <w:p>
      <w:pPr>
        <w:snapToGrid w:val="0"/>
        <w:spacing w:line="580" w:lineRule="exact"/>
        <w:ind w:firstLine="640" w:firstLineChars="200"/>
        <w:rPr>
          <w:rFonts w:ascii="仿宋" w:hAnsi="仿宋" w:eastAsia="仿宋"/>
          <w:sz w:val="36"/>
          <w:szCs w:val="36"/>
        </w:rPr>
      </w:pPr>
      <w:r>
        <w:rPr>
          <w:rFonts w:hint="eastAsia" w:ascii="仿宋" w:hAnsi="仿宋" w:eastAsia="仿宋"/>
          <w:sz w:val="36"/>
          <w:szCs w:val="36"/>
        </w:rPr>
        <w:t>1.各省选择和推荐示范县应突出本省粮食品种资源优势，合理布局，优先推荐环境友好型生产、科技支撑能力强、商品率高、具有优质粮油发展潜力的产粮产油县，并与产后服务体系和质检体系建设统筹安排。</w:t>
      </w:r>
    </w:p>
    <w:p>
      <w:pPr>
        <w:snapToGrid w:val="0"/>
        <w:spacing w:line="580" w:lineRule="exact"/>
        <w:ind w:firstLine="640" w:firstLineChars="200"/>
        <w:rPr>
          <w:rFonts w:ascii="仿宋" w:hAnsi="仿宋" w:eastAsia="仿宋"/>
          <w:sz w:val="36"/>
          <w:szCs w:val="36"/>
        </w:rPr>
      </w:pPr>
      <w:r>
        <w:rPr>
          <w:rFonts w:hint="eastAsia" w:ascii="仿宋" w:hAnsi="仿宋" w:eastAsia="仿宋"/>
          <w:sz w:val="36"/>
          <w:szCs w:val="36"/>
        </w:rPr>
        <w:t>2.示范县应处于优质粮油的优势生产区，具备较好的规模化种植基础、产后服务设施条件及优质粮油营销基础。拥有一批发展势头良好的加工企业，及一定影响力的地域和企业品牌。与科研机构建立紧密合作关系，具备较好的科技支撑和技术服务能力。</w:t>
      </w:r>
      <w:r>
        <w:rPr>
          <w:rFonts w:ascii="仿宋" w:hAnsi="仿宋" w:eastAsia="仿宋"/>
          <w:sz w:val="36"/>
          <w:szCs w:val="36"/>
        </w:rPr>
        <w:t xml:space="preserve"> </w:t>
      </w:r>
    </w:p>
    <w:p>
      <w:pPr>
        <w:snapToGrid w:val="0"/>
        <w:spacing w:line="580" w:lineRule="exact"/>
        <w:ind w:firstLine="640" w:firstLineChars="200"/>
        <w:rPr>
          <w:rFonts w:ascii="仿宋" w:hAnsi="仿宋" w:eastAsia="仿宋"/>
          <w:sz w:val="36"/>
          <w:szCs w:val="36"/>
        </w:rPr>
      </w:pPr>
      <w:r>
        <w:rPr>
          <w:rFonts w:hint="eastAsia" w:ascii="仿宋" w:hAnsi="仿宋" w:eastAsia="仿宋"/>
          <w:sz w:val="36"/>
          <w:szCs w:val="36"/>
        </w:rPr>
        <w:t>3.示范县应根据中国好粮油行动计划实施方案总体要求，结合本地实际，突出“一县一品”目标，围绕示范县重点支持方向，提出具体建设目标、实施方案、资金安排、预期效果和保障措施等内容。</w:t>
      </w:r>
    </w:p>
    <w:p>
      <w:pPr>
        <w:snapToGrid w:val="0"/>
        <w:spacing w:line="580" w:lineRule="exact"/>
        <w:ind w:firstLine="643" w:firstLineChars="200"/>
        <w:rPr>
          <w:rFonts w:ascii="楷体" w:hAnsi="楷体" w:eastAsia="楷体"/>
          <w:b/>
          <w:sz w:val="36"/>
          <w:szCs w:val="36"/>
        </w:rPr>
      </w:pPr>
      <w:r>
        <w:rPr>
          <w:rFonts w:ascii="楷体" w:hAnsi="楷体" w:eastAsia="楷体"/>
          <w:b/>
          <w:sz w:val="36"/>
          <w:szCs w:val="36"/>
        </w:rPr>
        <w:t>（二）</w:t>
      </w:r>
      <w:r>
        <w:rPr>
          <w:rFonts w:hint="eastAsia" w:ascii="楷体" w:hAnsi="楷体" w:eastAsia="楷体"/>
          <w:b/>
          <w:sz w:val="36"/>
          <w:szCs w:val="36"/>
        </w:rPr>
        <w:t>示范企业</w:t>
      </w:r>
    </w:p>
    <w:p>
      <w:pPr>
        <w:snapToGrid w:val="0"/>
        <w:spacing w:line="580" w:lineRule="exact"/>
        <w:ind w:firstLine="640" w:firstLineChars="200"/>
        <w:rPr>
          <w:rFonts w:ascii="仿宋" w:hAnsi="仿宋" w:eastAsia="仿宋"/>
          <w:sz w:val="36"/>
          <w:szCs w:val="36"/>
        </w:rPr>
      </w:pPr>
      <w:r>
        <w:rPr>
          <w:rFonts w:hint="eastAsia" w:ascii="仿宋" w:hAnsi="仿宋" w:eastAsia="仿宋"/>
          <w:sz w:val="36"/>
          <w:szCs w:val="36"/>
        </w:rPr>
        <w:t>1.示范企业应为覆盖全产业链、具有全国或区域影响力的粮油加工龙头企业。企业经营状况、信誉等级、财务状况良好，</w:t>
      </w:r>
      <w:r>
        <w:rPr>
          <w:rFonts w:ascii="仿宋" w:hAnsi="仿宋" w:eastAsia="仿宋"/>
          <w:color w:val="000000"/>
          <w:sz w:val="36"/>
          <w:szCs w:val="36"/>
        </w:rPr>
        <w:t>近三年产品产量、产值、销售额、利税等主要指标在全</w:t>
      </w:r>
      <w:r>
        <w:rPr>
          <w:rFonts w:hint="eastAsia" w:ascii="仿宋" w:hAnsi="仿宋" w:eastAsia="仿宋"/>
          <w:color w:val="000000"/>
          <w:sz w:val="36"/>
          <w:szCs w:val="36"/>
        </w:rPr>
        <w:t>国或所在</w:t>
      </w:r>
      <w:r>
        <w:rPr>
          <w:rFonts w:ascii="仿宋" w:hAnsi="仿宋" w:eastAsia="仿宋"/>
          <w:color w:val="000000"/>
          <w:sz w:val="36"/>
          <w:szCs w:val="36"/>
        </w:rPr>
        <w:t>省</w:t>
      </w:r>
      <w:r>
        <w:rPr>
          <w:rFonts w:hint="eastAsia" w:ascii="仿宋" w:hAnsi="仿宋" w:eastAsia="仿宋"/>
          <w:color w:val="000000"/>
          <w:sz w:val="36"/>
          <w:szCs w:val="36"/>
        </w:rPr>
        <w:t>（区、市）</w:t>
      </w:r>
      <w:r>
        <w:rPr>
          <w:rFonts w:ascii="仿宋" w:hAnsi="仿宋" w:eastAsia="仿宋"/>
          <w:color w:val="000000"/>
          <w:sz w:val="36"/>
          <w:szCs w:val="36"/>
        </w:rPr>
        <w:t>同行业中排名</w:t>
      </w:r>
      <w:r>
        <w:rPr>
          <w:rFonts w:hint="eastAsia" w:ascii="仿宋" w:hAnsi="仿宋" w:eastAsia="仿宋"/>
          <w:color w:val="000000"/>
          <w:sz w:val="36"/>
          <w:szCs w:val="36"/>
        </w:rPr>
        <w:t>居前</w:t>
      </w:r>
      <w:r>
        <w:rPr>
          <w:rFonts w:ascii="仿宋" w:hAnsi="仿宋" w:eastAsia="仿宋"/>
          <w:color w:val="000000"/>
          <w:sz w:val="36"/>
          <w:szCs w:val="36"/>
        </w:rPr>
        <w:t>。</w:t>
      </w:r>
    </w:p>
    <w:p>
      <w:pPr>
        <w:snapToGrid w:val="0"/>
        <w:spacing w:line="580" w:lineRule="exact"/>
        <w:ind w:firstLine="640" w:firstLineChars="200"/>
        <w:rPr>
          <w:rFonts w:ascii="仿宋" w:hAnsi="仿宋" w:eastAsia="仿宋"/>
          <w:color w:val="000000"/>
          <w:sz w:val="36"/>
          <w:szCs w:val="36"/>
        </w:rPr>
      </w:pPr>
      <w:r>
        <w:rPr>
          <w:rFonts w:hint="eastAsia" w:ascii="仿宋" w:hAnsi="仿宋" w:eastAsia="仿宋"/>
          <w:color w:val="000000"/>
          <w:sz w:val="36"/>
          <w:szCs w:val="36"/>
        </w:rPr>
        <w:t>2.</w:t>
      </w:r>
      <w:r>
        <w:rPr>
          <w:rFonts w:hint="eastAsia" w:ascii="仿宋" w:hAnsi="仿宋" w:eastAsia="仿宋"/>
          <w:sz w:val="36"/>
          <w:szCs w:val="36"/>
        </w:rPr>
        <w:t>企业申报内容应符合中国好粮油行动示范工程指南要求。围绕重点支持方向，提出具体建设目标、实施方案、资金安排、预期效果和保障措施等内容。</w:t>
      </w:r>
    </w:p>
    <w:p>
      <w:pPr>
        <w:snapToGrid w:val="0"/>
        <w:spacing w:line="580" w:lineRule="exact"/>
        <w:ind w:firstLine="640" w:firstLineChars="200"/>
        <w:rPr>
          <w:rFonts w:ascii="仿宋" w:hAnsi="仿宋" w:eastAsia="仿宋"/>
          <w:color w:val="000000"/>
          <w:sz w:val="36"/>
          <w:szCs w:val="36"/>
        </w:rPr>
      </w:pPr>
      <w:r>
        <w:rPr>
          <w:rFonts w:hint="eastAsia" w:ascii="仿宋" w:hAnsi="仿宋" w:eastAsia="仿宋"/>
          <w:color w:val="000000"/>
          <w:sz w:val="36"/>
          <w:szCs w:val="36"/>
        </w:rPr>
        <w:t>3.企业与</w:t>
      </w:r>
      <w:r>
        <w:rPr>
          <w:rFonts w:hint="eastAsia" w:ascii="仿宋" w:hAnsi="仿宋" w:eastAsia="仿宋"/>
          <w:sz w:val="36"/>
          <w:szCs w:val="36"/>
        </w:rPr>
        <w:t>科研院所、大专院校建立了长期稳定的合作关系，企业</w:t>
      </w:r>
      <w:r>
        <w:rPr>
          <w:rFonts w:hint="eastAsia" w:ascii="仿宋" w:hAnsi="仿宋" w:eastAsia="仿宋"/>
          <w:color w:val="000000"/>
          <w:sz w:val="36"/>
          <w:szCs w:val="36"/>
        </w:rPr>
        <w:t>研发投入占销售收入比重明显高于全行业水平。</w:t>
      </w:r>
    </w:p>
    <w:p>
      <w:pPr>
        <w:snapToGrid w:val="0"/>
        <w:spacing w:line="580" w:lineRule="exact"/>
        <w:ind w:firstLine="640" w:firstLineChars="200"/>
        <w:rPr>
          <w:rFonts w:ascii="仿宋" w:hAnsi="仿宋" w:eastAsia="仿宋"/>
          <w:color w:val="000000"/>
          <w:sz w:val="36"/>
          <w:szCs w:val="36"/>
        </w:rPr>
      </w:pPr>
      <w:r>
        <w:rPr>
          <w:rFonts w:hint="eastAsia" w:ascii="仿宋" w:hAnsi="仿宋" w:eastAsia="仿宋"/>
          <w:color w:val="000000"/>
          <w:sz w:val="36"/>
          <w:szCs w:val="36"/>
        </w:rPr>
        <w:t>4.企业近年内未发生重大质量安全、违法经营事件及安全生产事故。</w:t>
      </w:r>
    </w:p>
    <w:p>
      <w:pPr>
        <w:snapToGrid w:val="0"/>
        <w:spacing w:line="580" w:lineRule="exact"/>
        <w:ind w:firstLine="640" w:firstLineChars="200"/>
        <w:rPr>
          <w:rFonts w:ascii="黑体" w:hAnsi="黑体" w:eastAsia="黑体"/>
          <w:sz w:val="36"/>
          <w:szCs w:val="36"/>
        </w:rPr>
      </w:pPr>
      <w:r>
        <w:rPr>
          <w:rFonts w:hint="eastAsia" w:ascii="黑体" w:hAnsi="黑体" w:eastAsia="黑体"/>
          <w:sz w:val="36"/>
          <w:szCs w:val="36"/>
        </w:rPr>
        <w:t>六</w:t>
      </w:r>
      <w:r>
        <w:rPr>
          <w:rFonts w:ascii="黑体" w:hAnsi="黑体" w:eastAsia="黑体"/>
          <w:sz w:val="36"/>
          <w:szCs w:val="36"/>
        </w:rPr>
        <w:t>、申报材料要求</w:t>
      </w:r>
    </w:p>
    <w:p>
      <w:pPr>
        <w:snapToGrid w:val="0"/>
        <w:spacing w:line="580" w:lineRule="exact"/>
        <w:ind w:firstLine="640" w:firstLineChars="200"/>
        <w:rPr>
          <w:rFonts w:ascii="仿宋" w:hAnsi="仿宋" w:eastAsia="仿宋"/>
          <w:color w:val="000000"/>
          <w:sz w:val="36"/>
          <w:szCs w:val="36"/>
        </w:rPr>
      </w:pPr>
      <w:r>
        <w:rPr>
          <w:rFonts w:ascii="仿宋" w:hAnsi="仿宋" w:eastAsia="仿宋"/>
          <w:color w:val="000000"/>
          <w:sz w:val="36"/>
          <w:szCs w:val="36"/>
        </w:rPr>
        <w:t>各</w:t>
      </w:r>
      <w:r>
        <w:rPr>
          <w:rFonts w:hint="eastAsia" w:ascii="仿宋" w:hAnsi="仿宋" w:eastAsia="仿宋"/>
          <w:color w:val="000000"/>
          <w:sz w:val="36"/>
          <w:szCs w:val="36"/>
        </w:rPr>
        <w:t>省级财政、粮食部门和中央企业统一组织</w:t>
      </w:r>
      <w:r>
        <w:rPr>
          <w:rFonts w:ascii="仿宋" w:hAnsi="仿宋" w:eastAsia="仿宋"/>
          <w:color w:val="000000"/>
          <w:sz w:val="36"/>
          <w:szCs w:val="36"/>
        </w:rPr>
        <w:t>上报申报文件</w:t>
      </w:r>
      <w:r>
        <w:rPr>
          <w:rFonts w:hint="eastAsia" w:ascii="仿宋" w:hAnsi="仿宋" w:eastAsia="仿宋"/>
          <w:color w:val="000000"/>
          <w:sz w:val="36"/>
          <w:szCs w:val="36"/>
        </w:rPr>
        <w:t>，</w:t>
      </w:r>
      <w:r>
        <w:rPr>
          <w:rFonts w:ascii="仿宋" w:hAnsi="仿宋" w:eastAsia="仿宋"/>
          <w:color w:val="000000"/>
          <w:sz w:val="36"/>
          <w:szCs w:val="36"/>
        </w:rPr>
        <w:t>并对材料真实性</w:t>
      </w:r>
      <w:r>
        <w:rPr>
          <w:rFonts w:hint="eastAsia" w:ascii="仿宋" w:hAnsi="仿宋" w:eastAsia="仿宋"/>
          <w:color w:val="000000"/>
          <w:sz w:val="36"/>
          <w:szCs w:val="36"/>
        </w:rPr>
        <w:t>进行审核</w:t>
      </w:r>
      <w:r>
        <w:rPr>
          <w:rFonts w:ascii="仿宋" w:hAnsi="仿宋" w:eastAsia="仿宋"/>
          <w:color w:val="000000"/>
          <w:sz w:val="36"/>
          <w:szCs w:val="36"/>
        </w:rPr>
        <w:t>。</w:t>
      </w:r>
    </w:p>
    <w:p>
      <w:pPr>
        <w:snapToGrid w:val="0"/>
        <w:spacing w:line="580" w:lineRule="exact"/>
        <w:ind w:firstLine="643" w:firstLineChars="200"/>
        <w:rPr>
          <w:rFonts w:ascii="楷体" w:hAnsi="楷体" w:eastAsia="楷体"/>
          <w:b/>
          <w:color w:val="000000"/>
          <w:sz w:val="36"/>
          <w:szCs w:val="36"/>
        </w:rPr>
      </w:pPr>
      <w:r>
        <w:rPr>
          <w:rFonts w:hint="eastAsia" w:ascii="楷体" w:hAnsi="楷体" w:eastAsia="楷体"/>
          <w:b/>
          <w:color w:val="000000"/>
          <w:sz w:val="36"/>
          <w:szCs w:val="36"/>
        </w:rPr>
        <w:t>（一）示范县申报材料</w:t>
      </w:r>
    </w:p>
    <w:p>
      <w:pPr>
        <w:snapToGrid w:val="0"/>
        <w:spacing w:line="580" w:lineRule="exact"/>
        <w:ind w:firstLine="640" w:firstLineChars="200"/>
        <w:rPr>
          <w:rFonts w:ascii="仿宋" w:hAnsi="仿宋" w:eastAsia="仿宋"/>
          <w:color w:val="000000"/>
          <w:sz w:val="36"/>
          <w:szCs w:val="36"/>
        </w:rPr>
      </w:pPr>
      <w:r>
        <w:rPr>
          <w:rFonts w:hint="eastAsia" w:ascii="仿宋" w:hAnsi="仿宋" w:eastAsia="仿宋"/>
          <w:color w:val="000000"/>
          <w:sz w:val="36"/>
          <w:szCs w:val="36"/>
        </w:rPr>
        <w:t>1.县级</w:t>
      </w:r>
      <w:r>
        <w:rPr>
          <w:rFonts w:ascii="仿宋" w:hAnsi="仿宋" w:eastAsia="仿宋"/>
          <w:color w:val="000000"/>
          <w:sz w:val="36"/>
          <w:szCs w:val="36"/>
        </w:rPr>
        <w:t>财政、粮食部门申报</w:t>
      </w:r>
      <w:r>
        <w:rPr>
          <w:rFonts w:hint="eastAsia" w:ascii="仿宋" w:hAnsi="仿宋" w:eastAsia="仿宋"/>
          <w:color w:val="000000"/>
          <w:sz w:val="36"/>
          <w:szCs w:val="36"/>
        </w:rPr>
        <w:t>财政</w:t>
      </w:r>
      <w:r>
        <w:rPr>
          <w:rFonts w:ascii="仿宋" w:hAnsi="仿宋" w:eastAsia="仿宋"/>
          <w:color w:val="000000"/>
          <w:sz w:val="36"/>
          <w:szCs w:val="36"/>
        </w:rPr>
        <w:t>补助资金的正式申报文件</w:t>
      </w:r>
      <w:r>
        <w:rPr>
          <w:rFonts w:hint="eastAsia" w:ascii="仿宋" w:hAnsi="仿宋" w:eastAsia="仿宋"/>
          <w:color w:val="000000"/>
          <w:sz w:val="36"/>
          <w:szCs w:val="36"/>
        </w:rPr>
        <w:t>。</w:t>
      </w:r>
    </w:p>
    <w:p>
      <w:pPr>
        <w:snapToGrid w:val="0"/>
        <w:spacing w:line="580" w:lineRule="exact"/>
        <w:ind w:firstLine="640" w:firstLineChars="200"/>
        <w:rPr>
          <w:rFonts w:ascii="仿宋" w:hAnsi="仿宋" w:eastAsia="仿宋"/>
          <w:color w:val="000000"/>
          <w:sz w:val="36"/>
          <w:szCs w:val="36"/>
        </w:rPr>
      </w:pPr>
      <w:r>
        <w:rPr>
          <w:rFonts w:hint="eastAsia" w:ascii="仿宋" w:hAnsi="仿宋" w:eastAsia="仿宋"/>
          <w:color w:val="000000"/>
          <w:sz w:val="36"/>
          <w:szCs w:val="36"/>
        </w:rPr>
        <w:t>2.</w:t>
      </w:r>
      <w:r>
        <w:rPr>
          <w:rFonts w:ascii="仿宋" w:hAnsi="仿宋" w:eastAsia="仿宋"/>
          <w:color w:val="000000"/>
          <w:sz w:val="36"/>
          <w:szCs w:val="36"/>
        </w:rPr>
        <w:t>《**县2017年</w:t>
      </w:r>
      <w:r>
        <w:rPr>
          <w:rFonts w:hint="eastAsia" w:ascii="仿宋" w:hAnsi="仿宋" w:eastAsia="仿宋"/>
          <w:color w:val="000000"/>
          <w:sz w:val="36"/>
          <w:szCs w:val="36"/>
        </w:rPr>
        <w:t>中国好粮油行动示范工程</w:t>
      </w:r>
      <w:r>
        <w:rPr>
          <w:rFonts w:ascii="仿宋" w:hAnsi="仿宋" w:eastAsia="仿宋"/>
          <w:color w:val="000000"/>
          <w:sz w:val="36"/>
          <w:szCs w:val="36"/>
        </w:rPr>
        <w:t>实施方案》。</w:t>
      </w:r>
      <w:r>
        <w:rPr>
          <w:rFonts w:hint="eastAsia" w:ascii="仿宋" w:hAnsi="仿宋" w:eastAsia="仿宋"/>
          <w:color w:val="000000"/>
          <w:sz w:val="36"/>
          <w:szCs w:val="36"/>
        </w:rPr>
        <w:t>包括：实施目标、主要内容、资金安排、时间进度、预期效果、保障措施、组织领导等内容。</w:t>
      </w:r>
    </w:p>
    <w:p>
      <w:pPr>
        <w:snapToGrid w:val="0"/>
        <w:spacing w:line="580" w:lineRule="exact"/>
        <w:ind w:firstLine="640" w:firstLineChars="200"/>
        <w:rPr>
          <w:rFonts w:ascii="仿宋" w:hAnsi="仿宋" w:eastAsia="仿宋"/>
          <w:color w:val="000000"/>
          <w:sz w:val="36"/>
          <w:szCs w:val="36"/>
        </w:rPr>
      </w:pPr>
      <w:r>
        <w:rPr>
          <w:rFonts w:hint="eastAsia" w:ascii="仿宋" w:hAnsi="仿宋" w:eastAsia="仿宋"/>
          <w:color w:val="000000"/>
          <w:sz w:val="36"/>
          <w:szCs w:val="36"/>
        </w:rPr>
        <w:t>3.示范县基本概况。包括人口与经济社会发展情况、粮食生产资源条件、规模化经营发展水平、优质粮油发展规模、粮食流通仓储物流设施条件、粮食销售及加工业发展状况。</w:t>
      </w:r>
    </w:p>
    <w:p>
      <w:pPr>
        <w:pStyle w:val="5"/>
        <w:spacing w:before="0" w:beforeAutospacing="0" w:after="0" w:afterAutospacing="0" w:line="580" w:lineRule="exact"/>
        <w:ind w:firstLine="640" w:firstLineChars="200"/>
        <w:rPr>
          <w:rFonts w:ascii="仿宋" w:hAnsi="仿宋" w:eastAsia="仿宋" w:cs="Times New Roman"/>
          <w:color w:val="000000"/>
          <w:kern w:val="2"/>
          <w:sz w:val="36"/>
          <w:szCs w:val="36"/>
        </w:rPr>
      </w:pPr>
      <w:r>
        <w:rPr>
          <w:rFonts w:hint="eastAsia" w:ascii="仿宋" w:hAnsi="仿宋" w:eastAsia="仿宋" w:cs="Times New Roman"/>
          <w:color w:val="000000"/>
          <w:kern w:val="2"/>
          <w:sz w:val="36"/>
          <w:szCs w:val="36"/>
        </w:rPr>
        <w:t>4.本地区正在实施的扶持粮油生产和加工发展的相关政策措施。</w:t>
      </w:r>
    </w:p>
    <w:p>
      <w:pPr>
        <w:pStyle w:val="5"/>
        <w:spacing w:before="0" w:beforeAutospacing="0" w:after="0" w:afterAutospacing="0" w:line="580" w:lineRule="exact"/>
        <w:ind w:firstLine="640" w:firstLineChars="200"/>
        <w:rPr>
          <w:rFonts w:ascii="仿宋" w:hAnsi="仿宋" w:eastAsia="仿宋" w:cs="Times New Roman"/>
          <w:color w:val="000000"/>
          <w:kern w:val="2"/>
          <w:sz w:val="36"/>
          <w:szCs w:val="36"/>
        </w:rPr>
      </w:pPr>
      <w:r>
        <w:rPr>
          <w:rFonts w:hint="eastAsia" w:ascii="仿宋" w:hAnsi="仿宋" w:eastAsia="仿宋" w:cs="Times New Roman"/>
          <w:color w:val="000000"/>
          <w:kern w:val="2"/>
          <w:sz w:val="36"/>
          <w:szCs w:val="36"/>
        </w:rPr>
        <w:t>5.县人民政府作为推进中国好粮油行动示范工程责任主体的承诺书。</w:t>
      </w:r>
    </w:p>
    <w:p>
      <w:pPr>
        <w:snapToGrid w:val="0"/>
        <w:spacing w:line="580" w:lineRule="exact"/>
        <w:ind w:firstLine="643" w:firstLineChars="200"/>
        <w:rPr>
          <w:rFonts w:ascii="楷体" w:hAnsi="楷体" w:eastAsia="楷体"/>
          <w:b/>
          <w:color w:val="000000"/>
          <w:sz w:val="36"/>
          <w:szCs w:val="36"/>
        </w:rPr>
      </w:pPr>
      <w:r>
        <w:rPr>
          <w:rFonts w:hint="eastAsia" w:ascii="楷体" w:hAnsi="楷体" w:eastAsia="楷体"/>
          <w:b/>
          <w:color w:val="000000"/>
          <w:sz w:val="36"/>
          <w:szCs w:val="36"/>
        </w:rPr>
        <w:t>（二）示范企业申报材料</w:t>
      </w:r>
    </w:p>
    <w:p>
      <w:pPr>
        <w:snapToGrid w:val="0"/>
        <w:spacing w:line="580" w:lineRule="exact"/>
        <w:ind w:firstLine="640" w:firstLineChars="200"/>
        <w:rPr>
          <w:rFonts w:ascii="仿宋" w:hAnsi="仿宋" w:eastAsia="仿宋"/>
          <w:color w:val="000000"/>
          <w:sz w:val="36"/>
          <w:szCs w:val="36"/>
        </w:rPr>
      </w:pPr>
      <w:r>
        <w:rPr>
          <w:rFonts w:hint="eastAsia" w:ascii="仿宋" w:hAnsi="仿宋" w:eastAsia="仿宋"/>
          <w:color w:val="000000"/>
          <w:sz w:val="36"/>
          <w:szCs w:val="36"/>
        </w:rPr>
        <w:t>1.企业</w:t>
      </w:r>
      <w:r>
        <w:rPr>
          <w:rFonts w:ascii="仿宋" w:hAnsi="仿宋" w:eastAsia="仿宋"/>
          <w:color w:val="000000"/>
          <w:sz w:val="36"/>
          <w:szCs w:val="36"/>
        </w:rPr>
        <w:t>申报</w:t>
      </w:r>
      <w:r>
        <w:rPr>
          <w:rFonts w:hint="eastAsia" w:ascii="仿宋" w:hAnsi="仿宋" w:eastAsia="仿宋"/>
          <w:color w:val="000000"/>
          <w:sz w:val="36"/>
          <w:szCs w:val="36"/>
        </w:rPr>
        <w:t>财政</w:t>
      </w:r>
      <w:r>
        <w:rPr>
          <w:rFonts w:ascii="仿宋" w:hAnsi="仿宋" w:eastAsia="仿宋"/>
          <w:color w:val="000000"/>
          <w:sz w:val="36"/>
          <w:szCs w:val="36"/>
        </w:rPr>
        <w:t>补助资金的正式申报文件</w:t>
      </w:r>
      <w:r>
        <w:rPr>
          <w:rFonts w:hint="eastAsia" w:ascii="仿宋" w:hAnsi="仿宋" w:eastAsia="仿宋"/>
          <w:color w:val="000000"/>
          <w:sz w:val="36"/>
          <w:szCs w:val="36"/>
        </w:rPr>
        <w:t>。</w:t>
      </w:r>
    </w:p>
    <w:p>
      <w:pPr>
        <w:snapToGrid w:val="0"/>
        <w:spacing w:line="580" w:lineRule="exact"/>
        <w:ind w:firstLine="640" w:firstLineChars="200"/>
        <w:rPr>
          <w:rFonts w:ascii="仿宋" w:hAnsi="仿宋" w:eastAsia="仿宋"/>
          <w:color w:val="000000"/>
          <w:sz w:val="36"/>
          <w:szCs w:val="36"/>
        </w:rPr>
      </w:pPr>
      <w:r>
        <w:rPr>
          <w:rFonts w:hint="eastAsia" w:ascii="仿宋" w:hAnsi="仿宋" w:eastAsia="仿宋"/>
          <w:color w:val="000000"/>
          <w:sz w:val="36"/>
          <w:szCs w:val="36"/>
        </w:rPr>
        <w:t>2.</w:t>
      </w:r>
      <w:r>
        <w:rPr>
          <w:rFonts w:ascii="仿宋" w:hAnsi="仿宋" w:eastAsia="仿宋"/>
          <w:color w:val="000000"/>
          <w:sz w:val="36"/>
          <w:szCs w:val="36"/>
        </w:rPr>
        <w:t>《**</w:t>
      </w:r>
      <w:r>
        <w:rPr>
          <w:rFonts w:hint="eastAsia" w:ascii="仿宋" w:hAnsi="仿宋" w:eastAsia="仿宋"/>
          <w:color w:val="000000"/>
          <w:sz w:val="36"/>
          <w:szCs w:val="36"/>
        </w:rPr>
        <w:t>企业</w:t>
      </w:r>
      <w:r>
        <w:rPr>
          <w:rFonts w:ascii="仿宋" w:hAnsi="仿宋" w:eastAsia="仿宋"/>
          <w:color w:val="000000"/>
          <w:sz w:val="36"/>
          <w:szCs w:val="36"/>
        </w:rPr>
        <w:t>2017年</w:t>
      </w:r>
      <w:r>
        <w:rPr>
          <w:rFonts w:hint="eastAsia" w:ascii="仿宋" w:hAnsi="仿宋" w:eastAsia="仿宋"/>
          <w:color w:val="000000"/>
          <w:sz w:val="36"/>
          <w:szCs w:val="36"/>
        </w:rPr>
        <w:t>中国好粮油行动示范工程</w:t>
      </w:r>
      <w:r>
        <w:rPr>
          <w:rFonts w:ascii="仿宋" w:hAnsi="仿宋" w:eastAsia="仿宋"/>
          <w:color w:val="000000"/>
          <w:sz w:val="36"/>
          <w:szCs w:val="36"/>
        </w:rPr>
        <w:t>实施方案》</w:t>
      </w:r>
      <w:r>
        <w:rPr>
          <w:rFonts w:hint="eastAsia" w:ascii="仿宋" w:hAnsi="仿宋" w:eastAsia="仿宋"/>
          <w:color w:val="000000"/>
          <w:sz w:val="36"/>
          <w:szCs w:val="36"/>
        </w:rPr>
        <w:t>。包括：示范工程实施目标、主要内容、资金安排、时间进度、预期效果、保障措施以及</w:t>
      </w:r>
      <w:r>
        <w:rPr>
          <w:rFonts w:ascii="仿宋" w:hAnsi="仿宋" w:eastAsia="仿宋"/>
          <w:color w:val="000000"/>
          <w:sz w:val="36"/>
          <w:szCs w:val="36"/>
        </w:rPr>
        <w:t>自筹资金</w:t>
      </w:r>
      <w:r>
        <w:rPr>
          <w:rFonts w:hint="eastAsia" w:ascii="仿宋" w:hAnsi="仿宋" w:eastAsia="仿宋"/>
          <w:color w:val="000000"/>
          <w:sz w:val="36"/>
          <w:szCs w:val="36"/>
        </w:rPr>
        <w:t>落实</w:t>
      </w:r>
      <w:r>
        <w:rPr>
          <w:rFonts w:ascii="仿宋" w:hAnsi="仿宋" w:eastAsia="仿宋"/>
          <w:color w:val="000000"/>
          <w:sz w:val="36"/>
          <w:szCs w:val="36"/>
        </w:rPr>
        <w:t>情况。</w:t>
      </w:r>
    </w:p>
    <w:p>
      <w:pPr>
        <w:snapToGrid w:val="0"/>
        <w:spacing w:line="580" w:lineRule="exact"/>
        <w:ind w:firstLine="640" w:firstLineChars="200"/>
        <w:rPr>
          <w:rFonts w:ascii="仿宋" w:hAnsi="仿宋" w:eastAsia="仿宋"/>
          <w:color w:val="000000"/>
          <w:sz w:val="36"/>
          <w:szCs w:val="36"/>
        </w:rPr>
      </w:pPr>
      <w:r>
        <w:rPr>
          <w:rFonts w:hint="eastAsia" w:ascii="仿宋" w:hAnsi="仿宋" w:eastAsia="仿宋"/>
          <w:color w:val="000000"/>
          <w:sz w:val="36"/>
          <w:szCs w:val="36"/>
        </w:rPr>
        <w:t>3.企业基本情况。包括企业粮油产品生产规模、产品品种、销售收入、利税总额、人员情况、资产结构、</w:t>
      </w:r>
      <w:r>
        <w:rPr>
          <w:rFonts w:ascii="仿宋" w:hAnsi="仿宋" w:eastAsia="仿宋"/>
          <w:color w:val="000000"/>
          <w:sz w:val="36"/>
          <w:szCs w:val="36"/>
        </w:rPr>
        <w:t>工商税务登记等相关证明材料</w:t>
      </w:r>
      <w:r>
        <w:rPr>
          <w:rFonts w:hint="eastAsia" w:ascii="仿宋" w:hAnsi="仿宋" w:eastAsia="仿宋"/>
          <w:color w:val="000000"/>
          <w:sz w:val="36"/>
          <w:szCs w:val="36"/>
        </w:rPr>
        <w:t>。企业</w:t>
      </w:r>
      <w:r>
        <w:rPr>
          <w:rFonts w:ascii="仿宋" w:hAnsi="仿宋" w:eastAsia="仿宋"/>
          <w:color w:val="000000"/>
          <w:sz w:val="36"/>
          <w:szCs w:val="36"/>
        </w:rPr>
        <w:t>2016</w:t>
      </w:r>
      <w:r>
        <w:rPr>
          <w:rFonts w:hint="eastAsia" w:ascii="仿宋" w:hAnsi="仿宋" w:eastAsia="仿宋"/>
          <w:color w:val="000000"/>
          <w:sz w:val="36"/>
          <w:szCs w:val="36"/>
        </w:rPr>
        <w:t>年经会计师事务所审计的财务报告和财务报表</w:t>
      </w:r>
      <w:r>
        <w:rPr>
          <w:rFonts w:ascii="仿宋" w:hAnsi="仿宋" w:eastAsia="仿宋"/>
          <w:color w:val="000000"/>
          <w:sz w:val="36"/>
          <w:szCs w:val="36"/>
        </w:rPr>
        <w:t>。</w:t>
      </w:r>
    </w:p>
    <w:p>
      <w:pPr>
        <w:snapToGrid w:val="0"/>
        <w:spacing w:line="580" w:lineRule="exact"/>
        <w:ind w:firstLine="640" w:firstLineChars="200"/>
        <w:rPr>
          <w:rFonts w:ascii="仿宋" w:hAnsi="仿宋" w:eastAsia="仿宋"/>
          <w:color w:val="000000"/>
          <w:sz w:val="36"/>
          <w:szCs w:val="36"/>
        </w:rPr>
      </w:pPr>
      <w:r>
        <w:rPr>
          <w:rFonts w:hint="eastAsia" w:ascii="仿宋" w:hAnsi="仿宋" w:eastAsia="仿宋"/>
          <w:color w:val="000000"/>
          <w:sz w:val="36"/>
          <w:szCs w:val="36"/>
        </w:rPr>
        <w:t>4.企业原料基地、加工基地、仓储物流设施等情况。</w:t>
      </w:r>
    </w:p>
    <w:p>
      <w:pPr>
        <w:snapToGrid w:val="0"/>
        <w:spacing w:line="580" w:lineRule="exact"/>
        <w:ind w:firstLine="640" w:firstLineChars="200"/>
        <w:rPr>
          <w:rFonts w:ascii="仿宋" w:hAnsi="仿宋" w:eastAsia="仿宋"/>
          <w:color w:val="000000"/>
          <w:sz w:val="36"/>
          <w:szCs w:val="36"/>
        </w:rPr>
      </w:pPr>
      <w:r>
        <w:rPr>
          <w:rFonts w:hint="eastAsia" w:ascii="仿宋" w:hAnsi="仿宋" w:eastAsia="仿宋"/>
          <w:color w:val="000000"/>
          <w:sz w:val="36"/>
          <w:szCs w:val="36"/>
        </w:rPr>
        <w:t>5.企业质量管理体系建设、品牌建设情况，以及取得的管理认证资格、各类荣誉等。</w:t>
      </w:r>
    </w:p>
    <w:p>
      <w:pPr>
        <w:pStyle w:val="5"/>
        <w:spacing w:before="0" w:beforeAutospacing="0" w:after="0" w:afterAutospacing="0" w:line="580" w:lineRule="exact"/>
        <w:ind w:firstLine="640" w:firstLineChars="200"/>
        <w:rPr>
          <w:rFonts w:ascii="仿宋" w:hAnsi="仿宋" w:eastAsia="仿宋" w:cs="Times New Roman"/>
          <w:color w:val="000000"/>
          <w:kern w:val="2"/>
          <w:sz w:val="36"/>
          <w:szCs w:val="36"/>
        </w:rPr>
      </w:pPr>
      <w:r>
        <w:rPr>
          <w:rFonts w:hint="eastAsia" w:ascii="仿宋" w:hAnsi="仿宋" w:eastAsia="仿宋" w:cs="Times New Roman"/>
          <w:color w:val="000000"/>
          <w:kern w:val="2"/>
          <w:sz w:val="36"/>
          <w:szCs w:val="36"/>
        </w:rPr>
        <w:t>6.企业作为推进中国好粮油行动示范工程责任主体的承诺书。</w:t>
      </w:r>
    </w:p>
    <w:p>
      <w:pPr>
        <w:snapToGrid w:val="0"/>
        <w:spacing w:line="580" w:lineRule="exact"/>
        <w:ind w:firstLine="640" w:firstLineChars="200"/>
        <w:rPr>
          <w:rFonts w:ascii="黑体" w:hAnsi="黑体" w:eastAsia="黑体"/>
          <w:sz w:val="36"/>
          <w:szCs w:val="36"/>
        </w:rPr>
      </w:pPr>
      <w:r>
        <w:rPr>
          <w:rFonts w:hint="eastAsia" w:ascii="黑体" w:hAnsi="黑体" w:eastAsia="黑体"/>
          <w:sz w:val="36"/>
          <w:szCs w:val="36"/>
        </w:rPr>
        <w:t>七</w:t>
      </w:r>
      <w:r>
        <w:rPr>
          <w:rFonts w:ascii="黑体" w:hAnsi="黑体" w:eastAsia="黑体"/>
          <w:sz w:val="36"/>
          <w:szCs w:val="36"/>
        </w:rPr>
        <w:t>、时间要求</w:t>
      </w:r>
    </w:p>
    <w:p>
      <w:pPr>
        <w:snapToGrid w:val="0"/>
        <w:spacing w:line="580" w:lineRule="exact"/>
        <w:ind w:firstLine="640" w:firstLineChars="200"/>
        <w:rPr>
          <w:rFonts w:ascii="仿宋" w:hAnsi="仿宋" w:eastAsia="仿宋"/>
          <w:sz w:val="36"/>
          <w:szCs w:val="36"/>
        </w:rPr>
      </w:pPr>
      <w:r>
        <w:rPr>
          <w:rFonts w:ascii="仿宋" w:hAnsi="仿宋" w:eastAsia="仿宋"/>
          <w:sz w:val="36"/>
          <w:szCs w:val="36"/>
        </w:rPr>
        <w:t>各地必须于</w:t>
      </w:r>
      <w:r>
        <w:rPr>
          <w:rFonts w:hint="eastAsia" w:ascii="仿宋" w:hAnsi="仿宋" w:eastAsia="仿宋"/>
          <w:sz w:val="36"/>
          <w:szCs w:val="36"/>
          <w:lang w:val="en-US" w:eastAsia="zh-CN"/>
        </w:rPr>
        <w:t>4月底</w:t>
      </w:r>
      <w:bookmarkStart w:id="0" w:name="_GoBack"/>
      <w:bookmarkEnd w:id="0"/>
      <w:r>
        <w:rPr>
          <w:rFonts w:ascii="仿宋" w:hAnsi="仿宋" w:eastAsia="仿宋"/>
          <w:sz w:val="36"/>
          <w:szCs w:val="36"/>
        </w:rPr>
        <w:t>前以正式文件形式，将上述资金申报材料按规定程序报</w:t>
      </w:r>
      <w:r>
        <w:rPr>
          <w:rFonts w:hint="eastAsia" w:ascii="仿宋" w:hAnsi="仿宋" w:eastAsia="仿宋"/>
          <w:sz w:val="36"/>
          <w:szCs w:val="36"/>
        </w:rPr>
        <w:t>财政部和国家</w:t>
      </w:r>
      <w:r>
        <w:rPr>
          <w:rFonts w:ascii="仿宋" w:hAnsi="仿宋" w:eastAsia="仿宋"/>
          <w:sz w:val="36"/>
          <w:szCs w:val="36"/>
        </w:rPr>
        <w:t>粮食局，逾期不予受理。每项资金申报材料上报8份，1份上报财政</w:t>
      </w:r>
      <w:r>
        <w:rPr>
          <w:rFonts w:hint="eastAsia" w:ascii="仿宋" w:hAnsi="仿宋" w:eastAsia="仿宋"/>
          <w:sz w:val="36"/>
          <w:szCs w:val="36"/>
        </w:rPr>
        <w:t>部</w:t>
      </w:r>
      <w:r>
        <w:rPr>
          <w:rFonts w:ascii="仿宋" w:hAnsi="仿宋" w:eastAsia="仿宋"/>
          <w:sz w:val="36"/>
          <w:szCs w:val="36"/>
        </w:rPr>
        <w:t>经建</w:t>
      </w:r>
      <w:r>
        <w:rPr>
          <w:rFonts w:hint="eastAsia" w:ascii="仿宋" w:hAnsi="仿宋" w:eastAsia="仿宋"/>
          <w:sz w:val="36"/>
          <w:szCs w:val="36"/>
        </w:rPr>
        <w:t>司</w:t>
      </w:r>
      <w:r>
        <w:rPr>
          <w:rFonts w:ascii="仿宋" w:hAnsi="仿宋" w:eastAsia="仿宋"/>
          <w:sz w:val="36"/>
          <w:szCs w:val="36"/>
        </w:rPr>
        <w:t>，7份上报</w:t>
      </w:r>
      <w:r>
        <w:rPr>
          <w:rFonts w:hint="eastAsia" w:ascii="仿宋" w:hAnsi="仿宋" w:eastAsia="仿宋"/>
          <w:sz w:val="36"/>
          <w:szCs w:val="36"/>
        </w:rPr>
        <w:t>国家</w:t>
      </w:r>
      <w:r>
        <w:rPr>
          <w:rFonts w:ascii="仿宋" w:hAnsi="仿宋" w:eastAsia="仿宋"/>
          <w:sz w:val="36"/>
          <w:szCs w:val="36"/>
        </w:rPr>
        <w:t>粮食局</w:t>
      </w:r>
      <w:r>
        <w:rPr>
          <w:rFonts w:hint="eastAsia" w:ascii="仿宋" w:hAnsi="仿宋" w:eastAsia="仿宋"/>
          <w:sz w:val="36"/>
          <w:szCs w:val="36"/>
        </w:rPr>
        <w:t>科学研究院</w:t>
      </w:r>
      <w:r>
        <w:rPr>
          <w:rFonts w:ascii="仿宋" w:hAnsi="仿宋" w:eastAsia="仿宋"/>
          <w:sz w:val="36"/>
          <w:szCs w:val="36"/>
        </w:rPr>
        <w:t>。</w:t>
      </w:r>
    </w:p>
    <w:p>
      <w:pPr>
        <w:snapToGrid w:val="0"/>
        <w:spacing w:line="580" w:lineRule="exact"/>
        <w:rPr>
          <w:rFonts w:ascii="仿宋" w:hAnsi="仿宋" w:eastAsia="仿宋"/>
          <w:sz w:val="36"/>
          <w:szCs w:val="36"/>
        </w:rPr>
      </w:pPr>
    </w:p>
    <w:p>
      <w:pPr>
        <w:snapToGrid w:val="0"/>
        <w:spacing w:line="580" w:lineRule="exact"/>
        <w:ind w:firstLine="630"/>
        <w:rPr>
          <w:rFonts w:hint="eastAsia" w:ascii="仿宋" w:hAnsi="仿宋" w:eastAsia="仿宋"/>
          <w:sz w:val="36"/>
          <w:szCs w:val="36"/>
        </w:rPr>
      </w:pPr>
      <w:r>
        <w:rPr>
          <w:rFonts w:hint="eastAsia" w:ascii="仿宋" w:hAnsi="仿宋" w:eastAsia="仿宋"/>
          <w:sz w:val="36"/>
          <w:szCs w:val="36"/>
        </w:rPr>
        <w:t>联系人：钟昱</w:t>
      </w:r>
    </w:p>
    <w:p>
      <w:pPr>
        <w:snapToGrid w:val="0"/>
        <w:spacing w:line="580" w:lineRule="exact"/>
        <w:ind w:firstLine="630"/>
        <w:rPr>
          <w:rFonts w:ascii="仿宋" w:hAnsi="仿宋" w:eastAsia="仿宋"/>
          <w:sz w:val="36"/>
          <w:szCs w:val="36"/>
        </w:rPr>
      </w:pPr>
      <w:r>
        <w:rPr>
          <w:rFonts w:hint="eastAsia" w:ascii="仿宋" w:hAnsi="仿宋" w:eastAsia="仿宋"/>
          <w:sz w:val="36"/>
          <w:szCs w:val="36"/>
        </w:rPr>
        <w:t>联系电话：010-58523641</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华康简标题宋">
    <w:panose1 w:val="0201060900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jc w:val="center"/>
    </w:pPr>
    <w:r>
      <w:rPr>
        <w:rFonts w:ascii="Times New Roman" w:hAnsi="Times New Roman" w:eastAsia="仿宋_GB2312" w:cs="Times New Roman"/>
        <w:kern w:val="2"/>
        <w:sz w:val="18"/>
        <w:szCs w:val="18"/>
        <w:lang w:val="en-US" w:eastAsia="zh-CN" w:bidi="ar-SA"/>
      </w:rPr>
      <w:pict>
        <v:shape id="_x0000_s2049" o:spid="_x0000_s2049"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8D4468"/>
    <w:rsid w:val="00000333"/>
    <w:rsid w:val="00002271"/>
    <w:rsid w:val="000028C8"/>
    <w:rsid w:val="00003EDF"/>
    <w:rsid w:val="00007E88"/>
    <w:rsid w:val="00010A69"/>
    <w:rsid w:val="00014671"/>
    <w:rsid w:val="0001514D"/>
    <w:rsid w:val="000175CD"/>
    <w:rsid w:val="00017C35"/>
    <w:rsid w:val="00022EEA"/>
    <w:rsid w:val="00023FE7"/>
    <w:rsid w:val="000248A4"/>
    <w:rsid w:val="0002588B"/>
    <w:rsid w:val="00025B75"/>
    <w:rsid w:val="00026E3E"/>
    <w:rsid w:val="000404DD"/>
    <w:rsid w:val="0004058A"/>
    <w:rsid w:val="00040CA0"/>
    <w:rsid w:val="00040EA7"/>
    <w:rsid w:val="00042174"/>
    <w:rsid w:val="000465EE"/>
    <w:rsid w:val="00060D6E"/>
    <w:rsid w:val="000716B6"/>
    <w:rsid w:val="0007201A"/>
    <w:rsid w:val="0007294B"/>
    <w:rsid w:val="000748DC"/>
    <w:rsid w:val="00076654"/>
    <w:rsid w:val="00077162"/>
    <w:rsid w:val="00080485"/>
    <w:rsid w:val="000878CD"/>
    <w:rsid w:val="00090F23"/>
    <w:rsid w:val="00093233"/>
    <w:rsid w:val="000A55DF"/>
    <w:rsid w:val="000B073E"/>
    <w:rsid w:val="000B0BE1"/>
    <w:rsid w:val="000B1A6A"/>
    <w:rsid w:val="000B359B"/>
    <w:rsid w:val="000B3DB9"/>
    <w:rsid w:val="000C1261"/>
    <w:rsid w:val="000C5FC9"/>
    <w:rsid w:val="000C6A80"/>
    <w:rsid w:val="000C7790"/>
    <w:rsid w:val="000D0A64"/>
    <w:rsid w:val="000D23AE"/>
    <w:rsid w:val="000D2D2B"/>
    <w:rsid w:val="000D4123"/>
    <w:rsid w:val="000D480D"/>
    <w:rsid w:val="000D4D61"/>
    <w:rsid w:val="000D6B4E"/>
    <w:rsid w:val="000D7DF4"/>
    <w:rsid w:val="000E0FD6"/>
    <w:rsid w:val="000F6926"/>
    <w:rsid w:val="00111B01"/>
    <w:rsid w:val="00111CEB"/>
    <w:rsid w:val="00114B62"/>
    <w:rsid w:val="00122DFD"/>
    <w:rsid w:val="00131DB4"/>
    <w:rsid w:val="0013398D"/>
    <w:rsid w:val="00136714"/>
    <w:rsid w:val="0013688B"/>
    <w:rsid w:val="00143EC0"/>
    <w:rsid w:val="0015090E"/>
    <w:rsid w:val="00150AFF"/>
    <w:rsid w:val="001537BB"/>
    <w:rsid w:val="0015441B"/>
    <w:rsid w:val="0015746B"/>
    <w:rsid w:val="00160C86"/>
    <w:rsid w:val="00164D8C"/>
    <w:rsid w:val="00167E49"/>
    <w:rsid w:val="001709F0"/>
    <w:rsid w:val="001753BE"/>
    <w:rsid w:val="00175D02"/>
    <w:rsid w:val="00180445"/>
    <w:rsid w:val="00182BB8"/>
    <w:rsid w:val="00183101"/>
    <w:rsid w:val="00183A60"/>
    <w:rsid w:val="00193CAA"/>
    <w:rsid w:val="0019494F"/>
    <w:rsid w:val="001A3B3F"/>
    <w:rsid w:val="001A701E"/>
    <w:rsid w:val="001A7D92"/>
    <w:rsid w:val="001B3F0D"/>
    <w:rsid w:val="001B44EF"/>
    <w:rsid w:val="001C0DBA"/>
    <w:rsid w:val="001C2BC0"/>
    <w:rsid w:val="001D24D6"/>
    <w:rsid w:val="001D2CA3"/>
    <w:rsid w:val="001E112C"/>
    <w:rsid w:val="001E2B6D"/>
    <w:rsid w:val="001E3C77"/>
    <w:rsid w:val="001E52E5"/>
    <w:rsid w:val="001F389A"/>
    <w:rsid w:val="001F4032"/>
    <w:rsid w:val="001F459E"/>
    <w:rsid w:val="001F7082"/>
    <w:rsid w:val="002034C2"/>
    <w:rsid w:val="00204322"/>
    <w:rsid w:val="00204528"/>
    <w:rsid w:val="00206564"/>
    <w:rsid w:val="00214E73"/>
    <w:rsid w:val="002241E1"/>
    <w:rsid w:val="00225DD7"/>
    <w:rsid w:val="00231CF3"/>
    <w:rsid w:val="002349A2"/>
    <w:rsid w:val="002375E5"/>
    <w:rsid w:val="002454B2"/>
    <w:rsid w:val="00245DE6"/>
    <w:rsid w:val="00246301"/>
    <w:rsid w:val="00257116"/>
    <w:rsid w:val="00257CE2"/>
    <w:rsid w:val="0026080B"/>
    <w:rsid w:val="00261D6F"/>
    <w:rsid w:val="002631A9"/>
    <w:rsid w:val="0027055A"/>
    <w:rsid w:val="00270EB2"/>
    <w:rsid w:val="002712B4"/>
    <w:rsid w:val="00271E2E"/>
    <w:rsid w:val="00273A20"/>
    <w:rsid w:val="0027535F"/>
    <w:rsid w:val="0027632A"/>
    <w:rsid w:val="00282869"/>
    <w:rsid w:val="0028395D"/>
    <w:rsid w:val="00291350"/>
    <w:rsid w:val="002953C3"/>
    <w:rsid w:val="002A1979"/>
    <w:rsid w:val="002A33E8"/>
    <w:rsid w:val="002A62A7"/>
    <w:rsid w:val="002A6E37"/>
    <w:rsid w:val="002B1EA4"/>
    <w:rsid w:val="002B59DE"/>
    <w:rsid w:val="002C0ECA"/>
    <w:rsid w:val="002D0DE6"/>
    <w:rsid w:val="002D4C06"/>
    <w:rsid w:val="002D64B5"/>
    <w:rsid w:val="002E3177"/>
    <w:rsid w:val="002E709A"/>
    <w:rsid w:val="002F1616"/>
    <w:rsid w:val="002F2B8B"/>
    <w:rsid w:val="002F3E55"/>
    <w:rsid w:val="002F5DC1"/>
    <w:rsid w:val="002F6C9E"/>
    <w:rsid w:val="002F7305"/>
    <w:rsid w:val="00300F68"/>
    <w:rsid w:val="00301C89"/>
    <w:rsid w:val="003023A8"/>
    <w:rsid w:val="00304284"/>
    <w:rsid w:val="00306034"/>
    <w:rsid w:val="0030715A"/>
    <w:rsid w:val="00312B7B"/>
    <w:rsid w:val="00315228"/>
    <w:rsid w:val="00317B48"/>
    <w:rsid w:val="003202FF"/>
    <w:rsid w:val="00336557"/>
    <w:rsid w:val="00343558"/>
    <w:rsid w:val="00343AE0"/>
    <w:rsid w:val="00343E03"/>
    <w:rsid w:val="003458AF"/>
    <w:rsid w:val="00357A28"/>
    <w:rsid w:val="003710CE"/>
    <w:rsid w:val="0038470E"/>
    <w:rsid w:val="003850D6"/>
    <w:rsid w:val="0038681F"/>
    <w:rsid w:val="00392AB8"/>
    <w:rsid w:val="003A5331"/>
    <w:rsid w:val="003A5D40"/>
    <w:rsid w:val="003A7704"/>
    <w:rsid w:val="003B44D6"/>
    <w:rsid w:val="003B4923"/>
    <w:rsid w:val="003B5717"/>
    <w:rsid w:val="003B62C2"/>
    <w:rsid w:val="003C357D"/>
    <w:rsid w:val="003C3B7F"/>
    <w:rsid w:val="003C5F46"/>
    <w:rsid w:val="003D1B2F"/>
    <w:rsid w:val="003E6FDE"/>
    <w:rsid w:val="003F30C9"/>
    <w:rsid w:val="003F7FA2"/>
    <w:rsid w:val="00415D61"/>
    <w:rsid w:val="00415ED1"/>
    <w:rsid w:val="00424B9E"/>
    <w:rsid w:val="004251F0"/>
    <w:rsid w:val="0042704D"/>
    <w:rsid w:val="00432861"/>
    <w:rsid w:val="00432EB6"/>
    <w:rsid w:val="00432FD7"/>
    <w:rsid w:val="00437518"/>
    <w:rsid w:val="00443172"/>
    <w:rsid w:val="0044357D"/>
    <w:rsid w:val="00452552"/>
    <w:rsid w:val="004546C8"/>
    <w:rsid w:val="0045594B"/>
    <w:rsid w:val="00463794"/>
    <w:rsid w:val="00465A0A"/>
    <w:rsid w:val="00466EB8"/>
    <w:rsid w:val="00467217"/>
    <w:rsid w:val="004762EA"/>
    <w:rsid w:val="0048510B"/>
    <w:rsid w:val="00491090"/>
    <w:rsid w:val="004928FC"/>
    <w:rsid w:val="00494873"/>
    <w:rsid w:val="00497556"/>
    <w:rsid w:val="00497F80"/>
    <w:rsid w:val="004A0963"/>
    <w:rsid w:val="004C0321"/>
    <w:rsid w:val="004C25C3"/>
    <w:rsid w:val="004C4094"/>
    <w:rsid w:val="004C7EED"/>
    <w:rsid w:val="004D2B37"/>
    <w:rsid w:val="004D2B58"/>
    <w:rsid w:val="004D6EED"/>
    <w:rsid w:val="004E1792"/>
    <w:rsid w:val="004E3736"/>
    <w:rsid w:val="004E5133"/>
    <w:rsid w:val="004E781E"/>
    <w:rsid w:val="004F2905"/>
    <w:rsid w:val="004F73AC"/>
    <w:rsid w:val="004F73D7"/>
    <w:rsid w:val="00503C9E"/>
    <w:rsid w:val="0050466B"/>
    <w:rsid w:val="00513783"/>
    <w:rsid w:val="0051643C"/>
    <w:rsid w:val="00517CA2"/>
    <w:rsid w:val="00517DAF"/>
    <w:rsid w:val="00520243"/>
    <w:rsid w:val="00521C85"/>
    <w:rsid w:val="00522F23"/>
    <w:rsid w:val="00524580"/>
    <w:rsid w:val="00525924"/>
    <w:rsid w:val="0052706F"/>
    <w:rsid w:val="005308A8"/>
    <w:rsid w:val="0053299C"/>
    <w:rsid w:val="00533460"/>
    <w:rsid w:val="00533D0F"/>
    <w:rsid w:val="00543086"/>
    <w:rsid w:val="005434DA"/>
    <w:rsid w:val="0054408E"/>
    <w:rsid w:val="00544669"/>
    <w:rsid w:val="0055273C"/>
    <w:rsid w:val="005545E1"/>
    <w:rsid w:val="00555E9C"/>
    <w:rsid w:val="00556006"/>
    <w:rsid w:val="0055732A"/>
    <w:rsid w:val="00561AC2"/>
    <w:rsid w:val="00561C6C"/>
    <w:rsid w:val="00561DF9"/>
    <w:rsid w:val="0056651B"/>
    <w:rsid w:val="00567F52"/>
    <w:rsid w:val="00572B7A"/>
    <w:rsid w:val="00573771"/>
    <w:rsid w:val="00576B68"/>
    <w:rsid w:val="005816A6"/>
    <w:rsid w:val="005843F2"/>
    <w:rsid w:val="00585ACF"/>
    <w:rsid w:val="005917EB"/>
    <w:rsid w:val="00591AF2"/>
    <w:rsid w:val="00593850"/>
    <w:rsid w:val="005A0A8E"/>
    <w:rsid w:val="005A1EFA"/>
    <w:rsid w:val="005A2690"/>
    <w:rsid w:val="005A366E"/>
    <w:rsid w:val="005A58A6"/>
    <w:rsid w:val="005A5BD3"/>
    <w:rsid w:val="005A71AB"/>
    <w:rsid w:val="005B0EA8"/>
    <w:rsid w:val="005B1FE0"/>
    <w:rsid w:val="005B23D9"/>
    <w:rsid w:val="005D1DD2"/>
    <w:rsid w:val="005D299A"/>
    <w:rsid w:val="005D406E"/>
    <w:rsid w:val="005D634F"/>
    <w:rsid w:val="005D7598"/>
    <w:rsid w:val="005E0681"/>
    <w:rsid w:val="005E1B7E"/>
    <w:rsid w:val="005E372C"/>
    <w:rsid w:val="005F5AB4"/>
    <w:rsid w:val="005F65B8"/>
    <w:rsid w:val="006140D2"/>
    <w:rsid w:val="006216C5"/>
    <w:rsid w:val="006263E7"/>
    <w:rsid w:val="006366D5"/>
    <w:rsid w:val="006405EB"/>
    <w:rsid w:val="006605FD"/>
    <w:rsid w:val="0066104F"/>
    <w:rsid w:val="00662D05"/>
    <w:rsid w:val="00672DED"/>
    <w:rsid w:val="006753AC"/>
    <w:rsid w:val="0067727C"/>
    <w:rsid w:val="00680D7F"/>
    <w:rsid w:val="0068409D"/>
    <w:rsid w:val="00685940"/>
    <w:rsid w:val="00685D6E"/>
    <w:rsid w:val="006862AB"/>
    <w:rsid w:val="006A1D2A"/>
    <w:rsid w:val="006A4744"/>
    <w:rsid w:val="006B3906"/>
    <w:rsid w:val="006B4BC0"/>
    <w:rsid w:val="006B6AB6"/>
    <w:rsid w:val="006C138A"/>
    <w:rsid w:val="006C2B49"/>
    <w:rsid w:val="006C4907"/>
    <w:rsid w:val="006C6960"/>
    <w:rsid w:val="006C6FBE"/>
    <w:rsid w:val="006C71C9"/>
    <w:rsid w:val="006D0584"/>
    <w:rsid w:val="006D67D3"/>
    <w:rsid w:val="006E2CD4"/>
    <w:rsid w:val="006E725A"/>
    <w:rsid w:val="006E7942"/>
    <w:rsid w:val="006F3284"/>
    <w:rsid w:val="006F5F77"/>
    <w:rsid w:val="006F71CB"/>
    <w:rsid w:val="006F7DD4"/>
    <w:rsid w:val="00702749"/>
    <w:rsid w:val="0070770E"/>
    <w:rsid w:val="00711704"/>
    <w:rsid w:val="00713F0D"/>
    <w:rsid w:val="00717C78"/>
    <w:rsid w:val="00722BE3"/>
    <w:rsid w:val="00734579"/>
    <w:rsid w:val="007354F6"/>
    <w:rsid w:val="007424CE"/>
    <w:rsid w:val="00756EF9"/>
    <w:rsid w:val="007601B2"/>
    <w:rsid w:val="00766F9F"/>
    <w:rsid w:val="00771ADC"/>
    <w:rsid w:val="007730C5"/>
    <w:rsid w:val="007737A5"/>
    <w:rsid w:val="00782600"/>
    <w:rsid w:val="00786DB2"/>
    <w:rsid w:val="007915FB"/>
    <w:rsid w:val="007B0180"/>
    <w:rsid w:val="007B489B"/>
    <w:rsid w:val="007B50C3"/>
    <w:rsid w:val="007B5172"/>
    <w:rsid w:val="007B6883"/>
    <w:rsid w:val="007C26BC"/>
    <w:rsid w:val="007C2D32"/>
    <w:rsid w:val="007C35FF"/>
    <w:rsid w:val="007C6149"/>
    <w:rsid w:val="007C66A2"/>
    <w:rsid w:val="007C6FCB"/>
    <w:rsid w:val="007D1DB4"/>
    <w:rsid w:val="007D34B9"/>
    <w:rsid w:val="007D7BC9"/>
    <w:rsid w:val="007E1000"/>
    <w:rsid w:val="007E2747"/>
    <w:rsid w:val="007E2FA5"/>
    <w:rsid w:val="007E3E08"/>
    <w:rsid w:val="007E6DA5"/>
    <w:rsid w:val="007F18AE"/>
    <w:rsid w:val="007F4195"/>
    <w:rsid w:val="00800CFC"/>
    <w:rsid w:val="00801168"/>
    <w:rsid w:val="00801AEE"/>
    <w:rsid w:val="00802E43"/>
    <w:rsid w:val="00806F34"/>
    <w:rsid w:val="00807387"/>
    <w:rsid w:val="00813778"/>
    <w:rsid w:val="00816361"/>
    <w:rsid w:val="00817F40"/>
    <w:rsid w:val="008228E9"/>
    <w:rsid w:val="008343AE"/>
    <w:rsid w:val="00834772"/>
    <w:rsid w:val="00841167"/>
    <w:rsid w:val="00841FA5"/>
    <w:rsid w:val="00841FBC"/>
    <w:rsid w:val="008441F9"/>
    <w:rsid w:val="0084426E"/>
    <w:rsid w:val="0084452B"/>
    <w:rsid w:val="008471C1"/>
    <w:rsid w:val="00847BEB"/>
    <w:rsid w:val="008501FD"/>
    <w:rsid w:val="00856062"/>
    <w:rsid w:val="00856F22"/>
    <w:rsid w:val="008620BD"/>
    <w:rsid w:val="00866B18"/>
    <w:rsid w:val="008670B5"/>
    <w:rsid w:val="00872486"/>
    <w:rsid w:val="00872CEC"/>
    <w:rsid w:val="0087707D"/>
    <w:rsid w:val="008770E5"/>
    <w:rsid w:val="008775F7"/>
    <w:rsid w:val="00881285"/>
    <w:rsid w:val="008922C0"/>
    <w:rsid w:val="00893D0A"/>
    <w:rsid w:val="00894A32"/>
    <w:rsid w:val="00894E96"/>
    <w:rsid w:val="008A609F"/>
    <w:rsid w:val="008A69FB"/>
    <w:rsid w:val="008C0C35"/>
    <w:rsid w:val="008C1210"/>
    <w:rsid w:val="008C419E"/>
    <w:rsid w:val="008C4468"/>
    <w:rsid w:val="008D2B8B"/>
    <w:rsid w:val="008D31E1"/>
    <w:rsid w:val="008D4468"/>
    <w:rsid w:val="008E5408"/>
    <w:rsid w:val="008F2092"/>
    <w:rsid w:val="008F2D3C"/>
    <w:rsid w:val="009006D3"/>
    <w:rsid w:val="00901F9F"/>
    <w:rsid w:val="00905905"/>
    <w:rsid w:val="00910F27"/>
    <w:rsid w:val="009147EA"/>
    <w:rsid w:val="00915FAD"/>
    <w:rsid w:val="00917C7D"/>
    <w:rsid w:val="00934B4E"/>
    <w:rsid w:val="00944551"/>
    <w:rsid w:val="0094611B"/>
    <w:rsid w:val="0094664C"/>
    <w:rsid w:val="00953040"/>
    <w:rsid w:val="00953741"/>
    <w:rsid w:val="00960228"/>
    <w:rsid w:val="009607FD"/>
    <w:rsid w:val="00960B42"/>
    <w:rsid w:val="00966DB7"/>
    <w:rsid w:val="0097196F"/>
    <w:rsid w:val="009757F5"/>
    <w:rsid w:val="00982BBC"/>
    <w:rsid w:val="00987132"/>
    <w:rsid w:val="0099208A"/>
    <w:rsid w:val="009A3564"/>
    <w:rsid w:val="009A5415"/>
    <w:rsid w:val="009B20D8"/>
    <w:rsid w:val="009B4016"/>
    <w:rsid w:val="009B69D0"/>
    <w:rsid w:val="009B6B84"/>
    <w:rsid w:val="009C1752"/>
    <w:rsid w:val="009C2652"/>
    <w:rsid w:val="009C53F9"/>
    <w:rsid w:val="009D4C5A"/>
    <w:rsid w:val="009E79E6"/>
    <w:rsid w:val="009F2701"/>
    <w:rsid w:val="009F43EF"/>
    <w:rsid w:val="009F449A"/>
    <w:rsid w:val="00A01C94"/>
    <w:rsid w:val="00A047F8"/>
    <w:rsid w:val="00A04A51"/>
    <w:rsid w:val="00A06E44"/>
    <w:rsid w:val="00A1601A"/>
    <w:rsid w:val="00A16365"/>
    <w:rsid w:val="00A20D4B"/>
    <w:rsid w:val="00A22FC1"/>
    <w:rsid w:val="00A378E2"/>
    <w:rsid w:val="00A403E6"/>
    <w:rsid w:val="00A41026"/>
    <w:rsid w:val="00A436D0"/>
    <w:rsid w:val="00A43AF0"/>
    <w:rsid w:val="00A4498A"/>
    <w:rsid w:val="00A46FE6"/>
    <w:rsid w:val="00A47902"/>
    <w:rsid w:val="00A51210"/>
    <w:rsid w:val="00A52107"/>
    <w:rsid w:val="00A550FD"/>
    <w:rsid w:val="00A55C9E"/>
    <w:rsid w:val="00A55E40"/>
    <w:rsid w:val="00A56777"/>
    <w:rsid w:val="00A60B10"/>
    <w:rsid w:val="00A65BF1"/>
    <w:rsid w:val="00A7242B"/>
    <w:rsid w:val="00A7298C"/>
    <w:rsid w:val="00A75B1B"/>
    <w:rsid w:val="00A775B6"/>
    <w:rsid w:val="00A91CE2"/>
    <w:rsid w:val="00A958E4"/>
    <w:rsid w:val="00A96357"/>
    <w:rsid w:val="00A96725"/>
    <w:rsid w:val="00AA175B"/>
    <w:rsid w:val="00AA2E5B"/>
    <w:rsid w:val="00AA47CA"/>
    <w:rsid w:val="00AB4247"/>
    <w:rsid w:val="00AB654F"/>
    <w:rsid w:val="00AB6A57"/>
    <w:rsid w:val="00AC2F9F"/>
    <w:rsid w:val="00AC3E12"/>
    <w:rsid w:val="00AC483A"/>
    <w:rsid w:val="00AC4F01"/>
    <w:rsid w:val="00AC73A1"/>
    <w:rsid w:val="00AD0B44"/>
    <w:rsid w:val="00AD22A8"/>
    <w:rsid w:val="00AD2502"/>
    <w:rsid w:val="00AE18B5"/>
    <w:rsid w:val="00AE261B"/>
    <w:rsid w:val="00AE4B6B"/>
    <w:rsid w:val="00AF1078"/>
    <w:rsid w:val="00B0591F"/>
    <w:rsid w:val="00B0711B"/>
    <w:rsid w:val="00B07302"/>
    <w:rsid w:val="00B11411"/>
    <w:rsid w:val="00B144F6"/>
    <w:rsid w:val="00B15631"/>
    <w:rsid w:val="00B23277"/>
    <w:rsid w:val="00B26123"/>
    <w:rsid w:val="00B27019"/>
    <w:rsid w:val="00B35AD7"/>
    <w:rsid w:val="00B40F09"/>
    <w:rsid w:val="00B42461"/>
    <w:rsid w:val="00B46A2B"/>
    <w:rsid w:val="00B523CB"/>
    <w:rsid w:val="00B56746"/>
    <w:rsid w:val="00B57D4C"/>
    <w:rsid w:val="00B62BE2"/>
    <w:rsid w:val="00B705D8"/>
    <w:rsid w:val="00B72DC9"/>
    <w:rsid w:val="00B74492"/>
    <w:rsid w:val="00B774F3"/>
    <w:rsid w:val="00B77B30"/>
    <w:rsid w:val="00B77E6F"/>
    <w:rsid w:val="00B80BF6"/>
    <w:rsid w:val="00B95946"/>
    <w:rsid w:val="00BA3DC1"/>
    <w:rsid w:val="00BA4425"/>
    <w:rsid w:val="00BA484B"/>
    <w:rsid w:val="00BA5DCE"/>
    <w:rsid w:val="00BB081E"/>
    <w:rsid w:val="00BB084F"/>
    <w:rsid w:val="00BB60F8"/>
    <w:rsid w:val="00BB70B8"/>
    <w:rsid w:val="00BC218A"/>
    <w:rsid w:val="00BC2595"/>
    <w:rsid w:val="00BC7B6D"/>
    <w:rsid w:val="00BD1E7E"/>
    <w:rsid w:val="00BD3124"/>
    <w:rsid w:val="00BD59D9"/>
    <w:rsid w:val="00BD6517"/>
    <w:rsid w:val="00BE22DB"/>
    <w:rsid w:val="00BE66C3"/>
    <w:rsid w:val="00BF3302"/>
    <w:rsid w:val="00BF6E43"/>
    <w:rsid w:val="00BF7909"/>
    <w:rsid w:val="00BF7A9B"/>
    <w:rsid w:val="00BF7BE5"/>
    <w:rsid w:val="00C02202"/>
    <w:rsid w:val="00C0672F"/>
    <w:rsid w:val="00C31E1B"/>
    <w:rsid w:val="00C32041"/>
    <w:rsid w:val="00C32CF7"/>
    <w:rsid w:val="00C355D9"/>
    <w:rsid w:val="00C41A8A"/>
    <w:rsid w:val="00C45D0D"/>
    <w:rsid w:val="00C55B99"/>
    <w:rsid w:val="00C6166C"/>
    <w:rsid w:val="00C666D0"/>
    <w:rsid w:val="00C67A7B"/>
    <w:rsid w:val="00C7015A"/>
    <w:rsid w:val="00C7289E"/>
    <w:rsid w:val="00C7380A"/>
    <w:rsid w:val="00C7517C"/>
    <w:rsid w:val="00C77F7D"/>
    <w:rsid w:val="00C85A5D"/>
    <w:rsid w:val="00C945DE"/>
    <w:rsid w:val="00C94E3A"/>
    <w:rsid w:val="00C963E1"/>
    <w:rsid w:val="00C977C7"/>
    <w:rsid w:val="00CA0336"/>
    <w:rsid w:val="00CA4067"/>
    <w:rsid w:val="00CB24F1"/>
    <w:rsid w:val="00CB648B"/>
    <w:rsid w:val="00CC1C91"/>
    <w:rsid w:val="00CD060C"/>
    <w:rsid w:val="00CD1AE5"/>
    <w:rsid w:val="00CE54F8"/>
    <w:rsid w:val="00CF082D"/>
    <w:rsid w:val="00CF2A27"/>
    <w:rsid w:val="00CF4AD8"/>
    <w:rsid w:val="00CF637E"/>
    <w:rsid w:val="00D01967"/>
    <w:rsid w:val="00D01DAC"/>
    <w:rsid w:val="00D0257B"/>
    <w:rsid w:val="00D07DDF"/>
    <w:rsid w:val="00D11E54"/>
    <w:rsid w:val="00D171F5"/>
    <w:rsid w:val="00D21683"/>
    <w:rsid w:val="00D22D1F"/>
    <w:rsid w:val="00D25144"/>
    <w:rsid w:val="00D32207"/>
    <w:rsid w:val="00D40AF5"/>
    <w:rsid w:val="00D52604"/>
    <w:rsid w:val="00D542EC"/>
    <w:rsid w:val="00D54630"/>
    <w:rsid w:val="00D54A95"/>
    <w:rsid w:val="00D550CB"/>
    <w:rsid w:val="00D64627"/>
    <w:rsid w:val="00D66572"/>
    <w:rsid w:val="00D67AED"/>
    <w:rsid w:val="00D72EF8"/>
    <w:rsid w:val="00D73ACA"/>
    <w:rsid w:val="00D7545D"/>
    <w:rsid w:val="00D84346"/>
    <w:rsid w:val="00D91FB9"/>
    <w:rsid w:val="00DA27A4"/>
    <w:rsid w:val="00DA3C98"/>
    <w:rsid w:val="00DB1C42"/>
    <w:rsid w:val="00DB2C5B"/>
    <w:rsid w:val="00DB2CC7"/>
    <w:rsid w:val="00DB4B8E"/>
    <w:rsid w:val="00DC1D36"/>
    <w:rsid w:val="00DC354F"/>
    <w:rsid w:val="00DC361D"/>
    <w:rsid w:val="00DC639D"/>
    <w:rsid w:val="00DC6D8E"/>
    <w:rsid w:val="00DD3A39"/>
    <w:rsid w:val="00DD7072"/>
    <w:rsid w:val="00DD7252"/>
    <w:rsid w:val="00DD7383"/>
    <w:rsid w:val="00DD74F2"/>
    <w:rsid w:val="00DE6920"/>
    <w:rsid w:val="00DF7ED8"/>
    <w:rsid w:val="00E01695"/>
    <w:rsid w:val="00E0262D"/>
    <w:rsid w:val="00E02745"/>
    <w:rsid w:val="00E03E78"/>
    <w:rsid w:val="00E13124"/>
    <w:rsid w:val="00E14266"/>
    <w:rsid w:val="00E1598B"/>
    <w:rsid w:val="00E1735A"/>
    <w:rsid w:val="00E179AC"/>
    <w:rsid w:val="00E20A0C"/>
    <w:rsid w:val="00E21D90"/>
    <w:rsid w:val="00E22B67"/>
    <w:rsid w:val="00E30D02"/>
    <w:rsid w:val="00E3379C"/>
    <w:rsid w:val="00E33C98"/>
    <w:rsid w:val="00E40B7F"/>
    <w:rsid w:val="00E45901"/>
    <w:rsid w:val="00E54A7D"/>
    <w:rsid w:val="00E54BD8"/>
    <w:rsid w:val="00E61CE9"/>
    <w:rsid w:val="00E61D08"/>
    <w:rsid w:val="00E71EEF"/>
    <w:rsid w:val="00E74D54"/>
    <w:rsid w:val="00E75586"/>
    <w:rsid w:val="00E76789"/>
    <w:rsid w:val="00E82192"/>
    <w:rsid w:val="00E85C31"/>
    <w:rsid w:val="00E978C3"/>
    <w:rsid w:val="00E97A6F"/>
    <w:rsid w:val="00EA07B3"/>
    <w:rsid w:val="00EA5C6F"/>
    <w:rsid w:val="00EB0429"/>
    <w:rsid w:val="00EB213D"/>
    <w:rsid w:val="00EB6853"/>
    <w:rsid w:val="00EB7CED"/>
    <w:rsid w:val="00EC0827"/>
    <w:rsid w:val="00EC4700"/>
    <w:rsid w:val="00EC4C1A"/>
    <w:rsid w:val="00EC56F2"/>
    <w:rsid w:val="00ED09D1"/>
    <w:rsid w:val="00ED555C"/>
    <w:rsid w:val="00EE14B7"/>
    <w:rsid w:val="00EE68BD"/>
    <w:rsid w:val="00EF06DA"/>
    <w:rsid w:val="00EF35C4"/>
    <w:rsid w:val="00EF46CE"/>
    <w:rsid w:val="00F01C01"/>
    <w:rsid w:val="00F01C71"/>
    <w:rsid w:val="00F170EA"/>
    <w:rsid w:val="00F20E0A"/>
    <w:rsid w:val="00F2466C"/>
    <w:rsid w:val="00F2573F"/>
    <w:rsid w:val="00F25D8E"/>
    <w:rsid w:val="00F26B5A"/>
    <w:rsid w:val="00F279C1"/>
    <w:rsid w:val="00F312C5"/>
    <w:rsid w:val="00F37BAF"/>
    <w:rsid w:val="00F43B48"/>
    <w:rsid w:val="00F5186F"/>
    <w:rsid w:val="00F52757"/>
    <w:rsid w:val="00F55C45"/>
    <w:rsid w:val="00F62987"/>
    <w:rsid w:val="00F66447"/>
    <w:rsid w:val="00F71785"/>
    <w:rsid w:val="00F732EE"/>
    <w:rsid w:val="00F74E3A"/>
    <w:rsid w:val="00F77884"/>
    <w:rsid w:val="00F82761"/>
    <w:rsid w:val="00F85607"/>
    <w:rsid w:val="00F877B9"/>
    <w:rsid w:val="00F930D4"/>
    <w:rsid w:val="00F943C2"/>
    <w:rsid w:val="00F95E76"/>
    <w:rsid w:val="00FA1D4D"/>
    <w:rsid w:val="00FA21D2"/>
    <w:rsid w:val="00FA33F1"/>
    <w:rsid w:val="00FA5D41"/>
    <w:rsid w:val="00FB11D5"/>
    <w:rsid w:val="00FB24A9"/>
    <w:rsid w:val="00FB293C"/>
    <w:rsid w:val="00FB58B4"/>
    <w:rsid w:val="00FC1FDD"/>
    <w:rsid w:val="00FC6184"/>
    <w:rsid w:val="00FC660D"/>
    <w:rsid w:val="00FC6CBE"/>
    <w:rsid w:val="00FD0852"/>
    <w:rsid w:val="00FD22B4"/>
    <w:rsid w:val="00FD3432"/>
    <w:rsid w:val="00FD479F"/>
    <w:rsid w:val="00FD5D3C"/>
    <w:rsid w:val="00FE2C50"/>
    <w:rsid w:val="00FE34B1"/>
    <w:rsid w:val="00FE4917"/>
    <w:rsid w:val="00FF14E5"/>
    <w:rsid w:val="00FF334F"/>
    <w:rsid w:val="00FF6321"/>
    <w:rsid w:val="0B7D379C"/>
    <w:rsid w:val="53B81EE5"/>
    <w:rsid w:val="6A33580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Balloon Text"/>
    <w:basedOn w:val="1"/>
    <w:link w:val="12"/>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Char Char Char Char"/>
    <w:basedOn w:val="1"/>
    <w:uiPriority w:val="0"/>
    <w:pPr>
      <w:widowControl/>
      <w:spacing w:after="160" w:line="240" w:lineRule="exact"/>
      <w:jc w:val="left"/>
    </w:pPr>
    <w:rPr>
      <w:rFonts w:eastAsia="宋体"/>
      <w:sz w:val="21"/>
      <w:szCs w:val="20"/>
    </w:rPr>
  </w:style>
  <w:style w:type="paragraph" w:customStyle="1" w:styleId="9">
    <w:name w:val="List Paragraph"/>
    <w:basedOn w:val="1"/>
    <w:qFormat/>
    <w:uiPriority w:val="34"/>
    <w:pPr>
      <w:ind w:firstLine="420" w:firstLineChars="200"/>
    </w:pPr>
  </w:style>
  <w:style w:type="character" w:customStyle="1" w:styleId="10">
    <w:name w:val="页眉 Char"/>
    <w:basedOn w:val="6"/>
    <w:link w:val="4"/>
    <w:semiHidden/>
    <w:qFormat/>
    <w:uiPriority w:val="99"/>
    <w:rPr>
      <w:rFonts w:ascii="Times New Roman" w:hAnsi="Times New Roman" w:eastAsia="仿宋_GB2312" w:cs="Times New Roman"/>
      <w:sz w:val="18"/>
      <w:szCs w:val="18"/>
    </w:rPr>
  </w:style>
  <w:style w:type="character" w:customStyle="1" w:styleId="11">
    <w:name w:val="页脚 Char"/>
    <w:basedOn w:val="6"/>
    <w:link w:val="3"/>
    <w:semiHidden/>
    <w:qFormat/>
    <w:uiPriority w:val="99"/>
    <w:rPr>
      <w:rFonts w:ascii="Times New Roman" w:hAnsi="Times New Roman" w:eastAsia="仿宋_GB2312" w:cs="Times New Roman"/>
      <w:sz w:val="18"/>
      <w:szCs w:val="18"/>
    </w:rPr>
  </w:style>
  <w:style w:type="character" w:customStyle="1" w:styleId="12">
    <w:name w:val="批注框文本 Char"/>
    <w:basedOn w:val="6"/>
    <w:link w:val="2"/>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521</Words>
  <Characters>2970</Characters>
  <Lines>24</Lines>
  <Paragraphs>6</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2017-03-05T12:08:00Z</dcterms:created>
  <dc:creator>Think</dc:creator>
  <cp:lastModifiedBy>Administrator</cp:lastModifiedBy>
  <cp:lastPrinted>2017-04-18T08:49:00Z</cp:lastPrinted>
  <dcterms:modified xsi:type="dcterms:W3CDTF">2017-04-20T08:08:24Z</dcterms:modified>
  <dc:title>“中国好粮油”行动示范县和示范企业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